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0CABCF56" w14:textId="45E5B0EE"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B51C81">
            <w:rPr>
              <w:rStyle w:val="Style1"/>
              <w:rFonts w:cstheme="minorHAnsi"/>
            </w:rPr>
            <w:t>Medication Reconciliation on Admission</w:t>
          </w:r>
        </w:sdtContent>
      </w:sdt>
    </w:p>
    <w:p w14:paraId="0CABCF57" w14:textId="64D952E2"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7-11-01T00:00:00Z">
            <w:dateFormat w:val="M/d/yyyy"/>
            <w:lid w:val="en-US"/>
            <w:storeMappedDataAs w:val="dateTime"/>
            <w:calendar w:val="gregorian"/>
          </w:date>
        </w:sdtPr>
        <w:sdtEndPr>
          <w:rPr>
            <w:rStyle w:val="DefaultParagraphFont"/>
            <w:noProof/>
            <w:color w:val="auto"/>
            <w:u w:val="none"/>
          </w:rPr>
        </w:sdtEndPr>
        <w:sdtContent>
          <w:r w:rsidR="00B51C81">
            <w:rPr>
              <w:rStyle w:val="Style2"/>
              <w:rFonts w:cstheme="minorHAnsi"/>
            </w:rPr>
            <w:t>11/1/2017</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6C0C2A"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6C0C2A"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6C0C2A"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6C0C2A"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407604A1" w:rsidR="000B7D57" w:rsidRPr="00C775CE" w:rsidRDefault="006C0C2A"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B51C81">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6C0C2A"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6C0C2A"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19D0FEBC" w:rsidR="00A01494" w:rsidRPr="00A01494" w:rsidRDefault="006C0C2A"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365260">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4F8BBDF0" w:rsidR="00A01494" w:rsidRPr="00A01494" w:rsidRDefault="006C0C2A"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365260">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6C0C2A"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6C0C2A"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6C0C2A"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6C0C2A"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6C0C2A"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6C0C2A"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6C0C2A"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6C0C2A"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6C0C2A"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6C0C2A"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ABCFAF" w14:textId="20CEDC92" w:rsidR="009E1846" w:rsidRPr="00926B80" w:rsidRDefault="00926B80" w:rsidP="00DB3627">
      <w:pPr>
        <w:autoSpaceDE w:val="0"/>
        <w:autoSpaceDN w:val="0"/>
        <w:adjustRightInd w:val="0"/>
        <w:spacing w:after="0" w:line="240" w:lineRule="auto"/>
        <w:rPr>
          <w:rFonts w:cstheme="minorHAnsi"/>
          <w:color w:val="0000FF"/>
        </w:rPr>
      </w:pPr>
      <w:r w:rsidRPr="00926B80">
        <w:rPr>
          <w:rFonts w:cstheme="minorHAnsi"/>
          <w:color w:val="0000FF"/>
        </w:rPr>
        <w:t>Not Applicable</w:t>
      </w:r>
      <w:r w:rsidR="00841E5A">
        <w:rPr>
          <w:rFonts w:cstheme="minorHAnsi"/>
          <w:color w:val="0000FF"/>
        </w:rPr>
        <w:t>.</w:t>
      </w:r>
      <w:r w:rsidR="003947D1">
        <w:rPr>
          <w:rFonts w:cstheme="minorHAnsi"/>
          <w:color w:val="0000FF"/>
        </w:rPr>
        <w:t xml:space="preserve"> </w:t>
      </w:r>
      <w:r w:rsidR="00841E5A">
        <w:rPr>
          <w:rFonts w:cstheme="minorHAnsi"/>
          <w:color w:val="0000FF"/>
        </w:rPr>
        <w:t>A</w:t>
      </w:r>
      <w:r w:rsidR="003947D1">
        <w:rPr>
          <w:rFonts w:cstheme="minorHAnsi"/>
          <w:color w:val="0000FF"/>
        </w:rPr>
        <w:t>n existing dataset was not available for testing.</w:t>
      </w:r>
    </w:p>
    <w:p w14:paraId="0A37F701" w14:textId="77777777" w:rsidR="00926B80" w:rsidRDefault="00926B80" w:rsidP="00DB3627">
      <w:pPr>
        <w:autoSpaceDE w:val="0"/>
        <w:autoSpaceDN w:val="0"/>
        <w:adjustRightInd w:val="0"/>
        <w:spacing w:after="0" w:line="240" w:lineRule="auto"/>
        <w:rPr>
          <w:rFonts w:cstheme="minorHAnsi"/>
          <w:b/>
        </w:rPr>
      </w:pPr>
    </w:p>
    <w:p w14:paraId="0CABCFB0" w14:textId="01504DA0"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ascii="Calibri" w:hAnsi="Calibri" w:cs="Calibri"/>
            <w:color w:val="0000FF"/>
          </w:rPr>
          <w:id w:val="950514773"/>
          <w:text/>
        </w:sdtPr>
        <w:sdtEndPr/>
        <w:sdtContent>
          <w:r w:rsidR="00B41426" w:rsidRPr="00B41426">
            <w:rPr>
              <w:rFonts w:ascii="Calibri" w:hAnsi="Calibri" w:cs="Calibri"/>
              <w:color w:val="0000FF"/>
            </w:rPr>
            <w:t>1/4/2013 – 8/17/2016</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BB30BB6" w:rsidR="000414E8" w:rsidRPr="00A01494" w:rsidRDefault="006C0C2A"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6526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2CC44F16" w:rsidR="000414E8" w:rsidRPr="00A01494" w:rsidRDefault="006C0C2A"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365260">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6C0C2A"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A3284D5" w14:textId="660A1E5D" w:rsidR="00E009A4" w:rsidRPr="00E009A4" w:rsidRDefault="00E009A4" w:rsidP="00E009A4">
      <w:pPr>
        <w:autoSpaceDE w:val="0"/>
        <w:autoSpaceDN w:val="0"/>
        <w:adjustRightInd w:val="0"/>
        <w:spacing w:after="0" w:line="240" w:lineRule="auto"/>
        <w:rPr>
          <w:rFonts w:cstheme="minorHAnsi"/>
          <w:color w:val="0000FF"/>
        </w:rPr>
      </w:pPr>
      <w:r w:rsidRPr="00E009A4">
        <w:rPr>
          <w:rFonts w:cstheme="minorHAnsi"/>
          <w:color w:val="0000FF"/>
        </w:rPr>
        <w:t xml:space="preserve">A sample of nine </w:t>
      </w:r>
      <w:r w:rsidR="00BD20E1" w:rsidRPr="15B07BB9">
        <w:rPr>
          <w:color w:val="0000FF"/>
        </w:rPr>
        <w:t xml:space="preserve">Inpatient Psychiatric Facilities (IPFs) </w:t>
      </w:r>
      <w:r w:rsidRPr="00E009A4">
        <w:rPr>
          <w:rFonts w:cstheme="minorHAnsi"/>
          <w:color w:val="0000FF"/>
        </w:rPr>
        <w:t>from eight</w:t>
      </w:r>
      <w:r w:rsidRPr="00E009A4" w:rsidDel="005D77D9">
        <w:rPr>
          <w:rFonts w:cstheme="minorHAnsi"/>
          <w:color w:val="0000FF"/>
        </w:rPr>
        <w:t xml:space="preserve"> </w:t>
      </w:r>
      <w:r w:rsidRPr="00E009A4">
        <w:rPr>
          <w:rFonts w:cstheme="minorHAnsi"/>
          <w:color w:val="0000FF"/>
        </w:rPr>
        <w:t xml:space="preserve">states </w:t>
      </w:r>
      <w:r w:rsidR="00BD20E1" w:rsidRPr="15B07BB9">
        <w:rPr>
          <w:color w:val="0000FF"/>
        </w:rPr>
        <w:t>(AZ, CA, CO, LA, MD, MI, WI, and WV)</w:t>
      </w:r>
      <w:r w:rsidR="00BD20E1">
        <w:rPr>
          <w:color w:val="0000FF"/>
        </w:rPr>
        <w:t xml:space="preserve"> </w:t>
      </w:r>
      <w:r w:rsidRPr="00E009A4">
        <w:rPr>
          <w:rFonts w:cstheme="minorHAnsi"/>
          <w:color w:val="0000FF"/>
        </w:rPr>
        <w:t xml:space="preserve">was used to perform the field testing of the measure. Both freestanding facilities and hospital-based units of various sizes and with different types of medical record systems were included in the </w:t>
      </w:r>
      <w:r w:rsidRPr="00A053F9">
        <w:rPr>
          <w:rFonts w:cstheme="minorHAnsi"/>
          <w:color w:val="0000FF"/>
        </w:rPr>
        <w:t xml:space="preserve">testing. Table 1.5 provides a breakdown of the characteristics of the IPFs included in the field testing. </w:t>
      </w:r>
      <w:r w:rsidR="00BD20E1" w:rsidRPr="00A053F9">
        <w:rPr>
          <w:rFonts w:cstheme="minorHAnsi"/>
          <w:color w:val="0000FF"/>
        </w:rPr>
        <w:t xml:space="preserve">Each of the nine IPFs were asked to abstract information from 100 </w:t>
      </w:r>
      <w:r w:rsidR="00493962" w:rsidRPr="00A053F9">
        <w:rPr>
          <w:rFonts w:cstheme="minorHAnsi"/>
          <w:color w:val="0000FF"/>
        </w:rPr>
        <w:t xml:space="preserve">patient </w:t>
      </w:r>
      <w:r w:rsidR="00BD20E1" w:rsidRPr="00A053F9">
        <w:rPr>
          <w:rFonts w:cstheme="minorHAnsi"/>
          <w:color w:val="0000FF"/>
        </w:rPr>
        <w:t xml:space="preserve">admissions that met the </w:t>
      </w:r>
      <w:r w:rsidR="00BD20E1" w:rsidRPr="00A053F9">
        <w:rPr>
          <w:rFonts w:cstheme="minorHAnsi"/>
          <w:color w:val="0000FF"/>
        </w:rPr>
        <w:lastRenderedPageBreak/>
        <w:t xml:space="preserve">testing criteria using one of two sampling approaches: (1) selection of the most recent admissions or (2) random selection of admissions. </w:t>
      </w:r>
      <w:r w:rsidR="00493962" w:rsidRPr="00A053F9">
        <w:rPr>
          <w:rFonts w:cstheme="minorHAnsi"/>
          <w:color w:val="0000FF"/>
        </w:rPr>
        <w:t>Patient a</w:t>
      </w:r>
      <w:r w:rsidR="00BD20E1" w:rsidRPr="00A053F9">
        <w:rPr>
          <w:rFonts w:cstheme="minorHAnsi"/>
          <w:color w:val="0000FF"/>
        </w:rPr>
        <w:t>dmissions included in the sample had to be from home, outpatient, emergency, or long-term care. A minimum length of stay of 24 hours was required to be</w:t>
      </w:r>
      <w:r w:rsidR="00BD20E1" w:rsidRPr="00BD20E1">
        <w:rPr>
          <w:rFonts w:cstheme="minorHAnsi"/>
          <w:color w:val="0000FF"/>
        </w:rPr>
        <w:t xml:space="preserve"> included in the sample because the Measure Developer anticipated that most facilities would need at least 24 hours to adequately complete the medication reconciliation process. The testing sample included adult and pediatric patients and had no restriction on insurance type.</w:t>
      </w:r>
    </w:p>
    <w:p w14:paraId="2F1ECD9A" w14:textId="68E7ACA9" w:rsidR="00E009A4" w:rsidRPr="00D41EE1" w:rsidRDefault="00E009A4" w:rsidP="00775E17">
      <w:pPr>
        <w:pStyle w:val="Caption"/>
      </w:pPr>
      <w:bookmarkStart w:id="12" w:name="_Ref478135466"/>
      <w:bookmarkStart w:id="13" w:name="_Toc478140184"/>
      <w:bookmarkStart w:id="14" w:name="_Toc485898265"/>
      <w:bookmarkStart w:id="15" w:name="_Toc486419626"/>
      <w:bookmarkStart w:id="16" w:name="_Toc487097898"/>
      <w:bookmarkStart w:id="17" w:name="_Toc487104009"/>
      <w:bookmarkStart w:id="18" w:name="_Toc487793022"/>
      <w:bookmarkStart w:id="19" w:name="_Toc490226700"/>
      <w:r>
        <w:t xml:space="preserve">Table </w:t>
      </w:r>
      <w:r w:rsidRPr="798A44EC">
        <w:fldChar w:fldCharType="begin"/>
      </w:r>
      <w:r>
        <w:instrText xml:space="preserve"> SEQ Table \* ARABIC </w:instrText>
      </w:r>
      <w:r w:rsidRPr="798A44EC">
        <w:fldChar w:fldCharType="separate"/>
      </w:r>
      <w:r>
        <w:rPr>
          <w:noProof/>
        </w:rPr>
        <w:t>1</w:t>
      </w:r>
      <w:r w:rsidRPr="798A44EC">
        <w:fldChar w:fldCharType="end"/>
      </w:r>
      <w:bookmarkEnd w:id="12"/>
      <w:r>
        <w:t>.5</w:t>
      </w:r>
      <w:r w:rsidRPr="00D41EE1">
        <w:t xml:space="preserve"> Field Testing Hospital Characteristics</w:t>
      </w:r>
      <w:bookmarkEnd w:id="13"/>
      <w:bookmarkEnd w:id="14"/>
      <w:bookmarkEnd w:id="15"/>
      <w:bookmarkEnd w:id="16"/>
      <w:bookmarkEnd w:id="17"/>
      <w:bookmarkEnd w:id="18"/>
      <w:bookmarkEnd w:id="19"/>
    </w:p>
    <w:tbl>
      <w:tblPr>
        <w:tblStyle w:val="TableGrid"/>
        <w:tblW w:w="9625" w:type="dxa"/>
        <w:tblLook w:val="04A0" w:firstRow="1" w:lastRow="0" w:firstColumn="1" w:lastColumn="0" w:noHBand="0" w:noVBand="1"/>
      </w:tblPr>
      <w:tblGrid>
        <w:gridCol w:w="764"/>
        <w:gridCol w:w="1751"/>
        <w:gridCol w:w="2520"/>
        <w:gridCol w:w="1440"/>
        <w:gridCol w:w="3150"/>
      </w:tblGrid>
      <w:tr w:rsidR="00E009A4" w:rsidRPr="00E009A4" w14:paraId="5C74C8BA" w14:textId="77777777" w:rsidTr="00E009A4">
        <w:tc>
          <w:tcPr>
            <w:tcW w:w="764" w:type="dxa"/>
            <w:shd w:val="clear" w:color="auto" w:fill="365F91" w:themeFill="accent1" w:themeFillShade="BF"/>
            <w:vAlign w:val="center"/>
          </w:tcPr>
          <w:p w14:paraId="4BC247D7" w14:textId="77777777" w:rsidR="00E009A4" w:rsidRPr="00E009A4" w:rsidRDefault="00E009A4" w:rsidP="00696FD0">
            <w:pPr>
              <w:keepNext/>
              <w:autoSpaceDE w:val="0"/>
              <w:autoSpaceDN w:val="0"/>
              <w:adjustRightInd w:val="0"/>
              <w:jc w:val="center"/>
              <w:rPr>
                <w:rFonts w:ascii="Calibri" w:hAnsi="Calibri"/>
                <w:b/>
                <w:color w:val="FFFFFF" w:themeColor="background1"/>
                <w:sz w:val="20"/>
                <w:szCs w:val="20"/>
              </w:rPr>
            </w:pPr>
            <w:r w:rsidRPr="00E009A4">
              <w:rPr>
                <w:rFonts w:ascii="Calibri" w:eastAsia="Arial" w:hAnsi="Calibri" w:cs="Arial"/>
                <w:b/>
                <w:color w:val="FFFFFF" w:themeColor="background1"/>
                <w:sz w:val="20"/>
                <w:szCs w:val="20"/>
              </w:rPr>
              <w:t>IPF ID</w:t>
            </w:r>
          </w:p>
        </w:tc>
        <w:tc>
          <w:tcPr>
            <w:tcW w:w="1751" w:type="dxa"/>
            <w:shd w:val="clear" w:color="auto" w:fill="365F91" w:themeFill="accent1" w:themeFillShade="BF"/>
            <w:vAlign w:val="center"/>
          </w:tcPr>
          <w:p w14:paraId="774AD41A" w14:textId="77777777" w:rsidR="00E009A4" w:rsidRPr="00E009A4" w:rsidRDefault="00E009A4" w:rsidP="00696FD0">
            <w:pPr>
              <w:keepNext/>
              <w:autoSpaceDE w:val="0"/>
              <w:autoSpaceDN w:val="0"/>
              <w:adjustRightInd w:val="0"/>
              <w:jc w:val="center"/>
              <w:rPr>
                <w:rFonts w:ascii="Calibri" w:hAnsi="Calibri"/>
                <w:b/>
                <w:color w:val="FFFFFF" w:themeColor="background1"/>
                <w:sz w:val="20"/>
                <w:szCs w:val="20"/>
              </w:rPr>
            </w:pPr>
            <w:r w:rsidRPr="00E009A4">
              <w:rPr>
                <w:rFonts w:ascii="Calibri" w:eastAsia="Arial" w:hAnsi="Calibri" w:cs="Arial"/>
                <w:b/>
                <w:color w:val="FFFFFF" w:themeColor="background1"/>
                <w:sz w:val="20"/>
                <w:szCs w:val="20"/>
              </w:rPr>
              <w:t>Location</w:t>
            </w:r>
          </w:p>
        </w:tc>
        <w:tc>
          <w:tcPr>
            <w:tcW w:w="2520" w:type="dxa"/>
            <w:shd w:val="clear" w:color="auto" w:fill="365F91" w:themeFill="accent1" w:themeFillShade="BF"/>
            <w:vAlign w:val="center"/>
          </w:tcPr>
          <w:p w14:paraId="0CB7D0DA" w14:textId="77777777" w:rsidR="00E009A4" w:rsidRPr="00E009A4" w:rsidRDefault="00E009A4" w:rsidP="00696FD0">
            <w:pPr>
              <w:keepNext/>
              <w:autoSpaceDE w:val="0"/>
              <w:autoSpaceDN w:val="0"/>
              <w:adjustRightInd w:val="0"/>
              <w:jc w:val="center"/>
              <w:rPr>
                <w:rFonts w:ascii="Calibri" w:hAnsi="Calibri"/>
                <w:b/>
                <w:color w:val="FFFFFF" w:themeColor="background1"/>
                <w:sz w:val="20"/>
                <w:szCs w:val="20"/>
              </w:rPr>
            </w:pPr>
            <w:r w:rsidRPr="00E009A4">
              <w:rPr>
                <w:rFonts w:ascii="Calibri" w:eastAsia="Arial" w:hAnsi="Calibri" w:cs="Arial"/>
                <w:b/>
                <w:color w:val="FFFFFF" w:themeColor="background1"/>
                <w:sz w:val="20"/>
                <w:szCs w:val="20"/>
              </w:rPr>
              <w:t>Type</w:t>
            </w:r>
          </w:p>
        </w:tc>
        <w:tc>
          <w:tcPr>
            <w:tcW w:w="1440" w:type="dxa"/>
            <w:shd w:val="clear" w:color="auto" w:fill="365F91" w:themeFill="accent1" w:themeFillShade="BF"/>
            <w:vAlign w:val="center"/>
          </w:tcPr>
          <w:p w14:paraId="02D3E1CA" w14:textId="77777777" w:rsidR="00E009A4" w:rsidRPr="00E009A4" w:rsidRDefault="00E009A4" w:rsidP="00696FD0">
            <w:pPr>
              <w:keepNext/>
              <w:autoSpaceDE w:val="0"/>
              <w:autoSpaceDN w:val="0"/>
              <w:adjustRightInd w:val="0"/>
              <w:jc w:val="center"/>
              <w:rPr>
                <w:rFonts w:ascii="Calibri" w:hAnsi="Calibri"/>
                <w:b/>
                <w:color w:val="FFFFFF" w:themeColor="background1"/>
                <w:sz w:val="20"/>
                <w:szCs w:val="20"/>
              </w:rPr>
            </w:pPr>
            <w:r w:rsidRPr="00E009A4">
              <w:rPr>
                <w:rFonts w:ascii="Calibri" w:eastAsia="Arial" w:hAnsi="Calibri" w:cs="Arial"/>
                <w:b/>
                <w:color w:val="FFFFFF" w:themeColor="background1"/>
                <w:sz w:val="20"/>
                <w:szCs w:val="20"/>
              </w:rPr>
              <w:t>Bed Size</w:t>
            </w:r>
          </w:p>
        </w:tc>
        <w:tc>
          <w:tcPr>
            <w:tcW w:w="3150" w:type="dxa"/>
            <w:shd w:val="clear" w:color="auto" w:fill="365F91" w:themeFill="accent1" w:themeFillShade="BF"/>
            <w:vAlign w:val="center"/>
          </w:tcPr>
          <w:p w14:paraId="1589A467" w14:textId="77777777" w:rsidR="00E009A4" w:rsidRPr="00E009A4" w:rsidRDefault="00E009A4" w:rsidP="00696FD0">
            <w:pPr>
              <w:keepNext/>
              <w:autoSpaceDE w:val="0"/>
              <w:autoSpaceDN w:val="0"/>
              <w:adjustRightInd w:val="0"/>
              <w:jc w:val="center"/>
              <w:rPr>
                <w:rFonts w:ascii="Calibri" w:hAnsi="Calibri"/>
                <w:b/>
                <w:color w:val="FFFFFF" w:themeColor="background1"/>
                <w:sz w:val="20"/>
                <w:szCs w:val="20"/>
              </w:rPr>
            </w:pPr>
            <w:r w:rsidRPr="00E009A4">
              <w:rPr>
                <w:rFonts w:ascii="Calibri" w:eastAsia="Calibri" w:hAnsi="Calibri" w:cs="Calibri"/>
                <w:b/>
                <w:color w:val="FFFFFF" w:themeColor="background1"/>
                <w:kern w:val="24"/>
                <w:sz w:val="20"/>
                <w:szCs w:val="20"/>
              </w:rPr>
              <w:t>Data Source</w:t>
            </w:r>
          </w:p>
        </w:tc>
      </w:tr>
      <w:tr w:rsidR="00E009A4" w:rsidRPr="00557D68" w14:paraId="48B8D5B9" w14:textId="77777777" w:rsidTr="00E009A4">
        <w:tc>
          <w:tcPr>
            <w:tcW w:w="764" w:type="dxa"/>
            <w:shd w:val="clear" w:color="auto" w:fill="auto"/>
            <w:vAlign w:val="center"/>
          </w:tcPr>
          <w:p w14:paraId="07457917"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1</w:t>
            </w:r>
          </w:p>
        </w:tc>
        <w:tc>
          <w:tcPr>
            <w:tcW w:w="1751" w:type="dxa"/>
            <w:shd w:val="clear" w:color="auto" w:fill="auto"/>
            <w:vAlign w:val="center"/>
          </w:tcPr>
          <w:p w14:paraId="0F4321F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West Virginia</w:t>
            </w:r>
          </w:p>
        </w:tc>
        <w:tc>
          <w:tcPr>
            <w:tcW w:w="2520" w:type="dxa"/>
            <w:shd w:val="clear" w:color="auto" w:fill="auto"/>
            <w:vAlign w:val="center"/>
          </w:tcPr>
          <w:p w14:paraId="1D7A42C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Unit</w:t>
            </w:r>
          </w:p>
        </w:tc>
        <w:tc>
          <w:tcPr>
            <w:tcW w:w="1440" w:type="dxa"/>
            <w:shd w:val="clear" w:color="auto" w:fill="auto"/>
            <w:vAlign w:val="center"/>
          </w:tcPr>
          <w:p w14:paraId="76602AB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70</w:t>
            </w:r>
          </w:p>
        </w:tc>
        <w:tc>
          <w:tcPr>
            <w:tcW w:w="3150" w:type="dxa"/>
            <w:shd w:val="clear" w:color="auto" w:fill="auto"/>
            <w:vAlign w:val="center"/>
          </w:tcPr>
          <w:p w14:paraId="6253ED05"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EPIC</w:t>
            </w:r>
          </w:p>
        </w:tc>
      </w:tr>
      <w:tr w:rsidR="00E009A4" w:rsidRPr="00557D68" w14:paraId="7BCEFD07" w14:textId="77777777" w:rsidTr="00E009A4">
        <w:tc>
          <w:tcPr>
            <w:tcW w:w="764" w:type="dxa"/>
            <w:shd w:val="clear" w:color="auto" w:fill="auto"/>
            <w:vAlign w:val="center"/>
          </w:tcPr>
          <w:p w14:paraId="75EBEC2D"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2</w:t>
            </w:r>
          </w:p>
        </w:tc>
        <w:tc>
          <w:tcPr>
            <w:tcW w:w="1751" w:type="dxa"/>
            <w:shd w:val="clear" w:color="auto" w:fill="auto"/>
            <w:vAlign w:val="center"/>
          </w:tcPr>
          <w:p w14:paraId="76D06F9B"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Michigan</w:t>
            </w:r>
          </w:p>
        </w:tc>
        <w:tc>
          <w:tcPr>
            <w:tcW w:w="2520" w:type="dxa"/>
            <w:shd w:val="clear" w:color="auto" w:fill="auto"/>
            <w:vAlign w:val="center"/>
          </w:tcPr>
          <w:p w14:paraId="355697DA"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Unit</w:t>
            </w:r>
          </w:p>
        </w:tc>
        <w:tc>
          <w:tcPr>
            <w:tcW w:w="1440" w:type="dxa"/>
            <w:shd w:val="clear" w:color="auto" w:fill="auto"/>
            <w:vAlign w:val="center"/>
          </w:tcPr>
          <w:p w14:paraId="560C5A7D"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28</w:t>
            </w:r>
          </w:p>
        </w:tc>
        <w:tc>
          <w:tcPr>
            <w:tcW w:w="3150" w:type="dxa"/>
            <w:shd w:val="clear" w:color="auto" w:fill="auto"/>
            <w:vAlign w:val="center"/>
          </w:tcPr>
          <w:p w14:paraId="32F85483"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McKesson</w:t>
            </w:r>
          </w:p>
        </w:tc>
      </w:tr>
      <w:tr w:rsidR="00E009A4" w:rsidRPr="00557D68" w14:paraId="796303C8" w14:textId="77777777" w:rsidTr="00E009A4">
        <w:tc>
          <w:tcPr>
            <w:tcW w:w="764" w:type="dxa"/>
            <w:shd w:val="clear" w:color="auto" w:fill="auto"/>
            <w:vAlign w:val="center"/>
          </w:tcPr>
          <w:p w14:paraId="4ECDF4C5"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3</w:t>
            </w:r>
          </w:p>
        </w:tc>
        <w:tc>
          <w:tcPr>
            <w:tcW w:w="1751" w:type="dxa"/>
            <w:shd w:val="clear" w:color="auto" w:fill="auto"/>
            <w:vAlign w:val="center"/>
          </w:tcPr>
          <w:p w14:paraId="4E3413E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Arizona</w:t>
            </w:r>
          </w:p>
        </w:tc>
        <w:tc>
          <w:tcPr>
            <w:tcW w:w="2520" w:type="dxa"/>
            <w:shd w:val="clear" w:color="auto" w:fill="auto"/>
            <w:vAlign w:val="center"/>
          </w:tcPr>
          <w:p w14:paraId="3EEBE200"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Freestanding</w:t>
            </w:r>
          </w:p>
        </w:tc>
        <w:tc>
          <w:tcPr>
            <w:tcW w:w="1440" w:type="dxa"/>
            <w:shd w:val="clear" w:color="auto" w:fill="auto"/>
            <w:vAlign w:val="center"/>
          </w:tcPr>
          <w:p w14:paraId="7A4A017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90</w:t>
            </w:r>
          </w:p>
        </w:tc>
        <w:tc>
          <w:tcPr>
            <w:tcW w:w="3150" w:type="dxa"/>
            <w:shd w:val="clear" w:color="auto" w:fill="auto"/>
            <w:vAlign w:val="center"/>
          </w:tcPr>
          <w:p w14:paraId="0427793E"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Paper Medical Records</w:t>
            </w:r>
          </w:p>
        </w:tc>
      </w:tr>
      <w:tr w:rsidR="00E009A4" w:rsidRPr="00557D68" w14:paraId="46E3685D" w14:textId="77777777" w:rsidTr="00E009A4">
        <w:tc>
          <w:tcPr>
            <w:tcW w:w="764" w:type="dxa"/>
            <w:shd w:val="clear" w:color="auto" w:fill="auto"/>
            <w:vAlign w:val="center"/>
          </w:tcPr>
          <w:p w14:paraId="6694FBB3"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4</w:t>
            </w:r>
          </w:p>
        </w:tc>
        <w:tc>
          <w:tcPr>
            <w:tcW w:w="1751" w:type="dxa"/>
            <w:shd w:val="clear" w:color="auto" w:fill="auto"/>
            <w:vAlign w:val="center"/>
          </w:tcPr>
          <w:p w14:paraId="7C88FF87"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Arizona</w:t>
            </w:r>
          </w:p>
        </w:tc>
        <w:tc>
          <w:tcPr>
            <w:tcW w:w="2520" w:type="dxa"/>
            <w:shd w:val="clear" w:color="auto" w:fill="auto"/>
            <w:vAlign w:val="center"/>
          </w:tcPr>
          <w:p w14:paraId="2EBFE7C3"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Freestanding</w:t>
            </w:r>
          </w:p>
        </w:tc>
        <w:tc>
          <w:tcPr>
            <w:tcW w:w="1440" w:type="dxa"/>
            <w:shd w:val="clear" w:color="auto" w:fill="auto"/>
            <w:vAlign w:val="center"/>
          </w:tcPr>
          <w:p w14:paraId="132AF84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75</w:t>
            </w:r>
          </w:p>
        </w:tc>
        <w:tc>
          <w:tcPr>
            <w:tcW w:w="3150" w:type="dxa"/>
            <w:shd w:val="clear" w:color="auto" w:fill="auto"/>
            <w:vAlign w:val="center"/>
          </w:tcPr>
          <w:p w14:paraId="7283D731"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Paper Medical Records</w:t>
            </w:r>
          </w:p>
        </w:tc>
      </w:tr>
      <w:tr w:rsidR="00E009A4" w:rsidRPr="00557D68" w14:paraId="73E2C050" w14:textId="77777777" w:rsidTr="00E009A4">
        <w:tc>
          <w:tcPr>
            <w:tcW w:w="764" w:type="dxa"/>
            <w:shd w:val="clear" w:color="auto" w:fill="auto"/>
            <w:vAlign w:val="center"/>
          </w:tcPr>
          <w:p w14:paraId="1D27917A"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5</w:t>
            </w:r>
          </w:p>
        </w:tc>
        <w:tc>
          <w:tcPr>
            <w:tcW w:w="1751" w:type="dxa"/>
            <w:shd w:val="clear" w:color="auto" w:fill="auto"/>
            <w:vAlign w:val="center"/>
          </w:tcPr>
          <w:p w14:paraId="1204B90F"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Maryland</w:t>
            </w:r>
          </w:p>
        </w:tc>
        <w:tc>
          <w:tcPr>
            <w:tcW w:w="2520" w:type="dxa"/>
            <w:shd w:val="clear" w:color="auto" w:fill="auto"/>
            <w:vAlign w:val="center"/>
          </w:tcPr>
          <w:p w14:paraId="5A3C2FB7"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Freestanding</w:t>
            </w:r>
          </w:p>
        </w:tc>
        <w:tc>
          <w:tcPr>
            <w:tcW w:w="1440" w:type="dxa"/>
            <w:shd w:val="clear" w:color="auto" w:fill="auto"/>
            <w:vAlign w:val="center"/>
          </w:tcPr>
          <w:p w14:paraId="51FF7352"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322</w:t>
            </w:r>
          </w:p>
        </w:tc>
        <w:tc>
          <w:tcPr>
            <w:tcW w:w="3150" w:type="dxa"/>
            <w:shd w:val="clear" w:color="auto" w:fill="auto"/>
            <w:vAlign w:val="center"/>
          </w:tcPr>
          <w:p w14:paraId="4FF7E396"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Allscripts®</w:t>
            </w:r>
          </w:p>
        </w:tc>
      </w:tr>
      <w:tr w:rsidR="00E009A4" w:rsidRPr="00557D68" w14:paraId="7B105414" w14:textId="77777777" w:rsidTr="00E009A4">
        <w:tc>
          <w:tcPr>
            <w:tcW w:w="764" w:type="dxa"/>
            <w:shd w:val="clear" w:color="auto" w:fill="auto"/>
            <w:vAlign w:val="center"/>
          </w:tcPr>
          <w:p w14:paraId="5CF8C08F"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6</w:t>
            </w:r>
          </w:p>
        </w:tc>
        <w:tc>
          <w:tcPr>
            <w:tcW w:w="1751" w:type="dxa"/>
            <w:shd w:val="clear" w:color="auto" w:fill="auto"/>
            <w:vAlign w:val="center"/>
          </w:tcPr>
          <w:p w14:paraId="4E0025C2"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California</w:t>
            </w:r>
          </w:p>
        </w:tc>
        <w:tc>
          <w:tcPr>
            <w:tcW w:w="2520" w:type="dxa"/>
            <w:shd w:val="clear" w:color="auto" w:fill="auto"/>
            <w:vAlign w:val="center"/>
          </w:tcPr>
          <w:p w14:paraId="76B56E52"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Unit</w:t>
            </w:r>
          </w:p>
        </w:tc>
        <w:tc>
          <w:tcPr>
            <w:tcW w:w="1440" w:type="dxa"/>
            <w:shd w:val="clear" w:color="auto" w:fill="auto"/>
            <w:vAlign w:val="center"/>
          </w:tcPr>
          <w:p w14:paraId="295640BE"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12</w:t>
            </w:r>
          </w:p>
        </w:tc>
        <w:tc>
          <w:tcPr>
            <w:tcW w:w="3150" w:type="dxa"/>
            <w:shd w:val="clear" w:color="auto" w:fill="auto"/>
            <w:vAlign w:val="center"/>
          </w:tcPr>
          <w:p w14:paraId="6CFE83B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Cerner</w:t>
            </w:r>
          </w:p>
        </w:tc>
      </w:tr>
      <w:tr w:rsidR="00E009A4" w:rsidRPr="00557D68" w14:paraId="79E6D16F" w14:textId="77777777" w:rsidTr="00E009A4">
        <w:tc>
          <w:tcPr>
            <w:tcW w:w="764" w:type="dxa"/>
            <w:shd w:val="clear" w:color="auto" w:fill="auto"/>
            <w:vAlign w:val="center"/>
          </w:tcPr>
          <w:p w14:paraId="3C76777B"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7</w:t>
            </w:r>
          </w:p>
        </w:tc>
        <w:tc>
          <w:tcPr>
            <w:tcW w:w="1751" w:type="dxa"/>
            <w:shd w:val="clear" w:color="auto" w:fill="auto"/>
            <w:vAlign w:val="center"/>
          </w:tcPr>
          <w:p w14:paraId="27D2790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Louisiana</w:t>
            </w:r>
          </w:p>
        </w:tc>
        <w:tc>
          <w:tcPr>
            <w:tcW w:w="2520" w:type="dxa"/>
            <w:shd w:val="clear" w:color="auto" w:fill="auto"/>
            <w:vAlign w:val="center"/>
          </w:tcPr>
          <w:p w14:paraId="507A0F75"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Unit</w:t>
            </w:r>
          </w:p>
        </w:tc>
        <w:tc>
          <w:tcPr>
            <w:tcW w:w="1440" w:type="dxa"/>
            <w:shd w:val="clear" w:color="auto" w:fill="auto"/>
            <w:vAlign w:val="center"/>
          </w:tcPr>
          <w:p w14:paraId="75AFD66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38</w:t>
            </w:r>
          </w:p>
        </w:tc>
        <w:tc>
          <w:tcPr>
            <w:tcW w:w="3150" w:type="dxa"/>
            <w:shd w:val="clear" w:color="auto" w:fill="auto"/>
            <w:vAlign w:val="center"/>
          </w:tcPr>
          <w:p w14:paraId="75C0A0D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EPIC</w:t>
            </w:r>
          </w:p>
        </w:tc>
      </w:tr>
      <w:tr w:rsidR="00E009A4" w:rsidRPr="00557D68" w14:paraId="4555DC37" w14:textId="77777777" w:rsidTr="00E009A4">
        <w:tc>
          <w:tcPr>
            <w:tcW w:w="764" w:type="dxa"/>
            <w:shd w:val="clear" w:color="auto" w:fill="auto"/>
            <w:vAlign w:val="center"/>
          </w:tcPr>
          <w:p w14:paraId="26FD893C"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8</w:t>
            </w:r>
          </w:p>
        </w:tc>
        <w:tc>
          <w:tcPr>
            <w:tcW w:w="1751" w:type="dxa"/>
            <w:shd w:val="clear" w:color="auto" w:fill="auto"/>
            <w:vAlign w:val="center"/>
          </w:tcPr>
          <w:p w14:paraId="67868AA7"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Colorado</w:t>
            </w:r>
          </w:p>
        </w:tc>
        <w:tc>
          <w:tcPr>
            <w:tcW w:w="2520" w:type="dxa"/>
            <w:shd w:val="clear" w:color="auto" w:fill="auto"/>
            <w:vAlign w:val="center"/>
          </w:tcPr>
          <w:p w14:paraId="2F8209ED"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Freestanding</w:t>
            </w:r>
          </w:p>
        </w:tc>
        <w:tc>
          <w:tcPr>
            <w:tcW w:w="1440" w:type="dxa"/>
            <w:shd w:val="clear" w:color="auto" w:fill="auto"/>
            <w:vAlign w:val="center"/>
          </w:tcPr>
          <w:p w14:paraId="2AC39A1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24</w:t>
            </w:r>
          </w:p>
        </w:tc>
        <w:tc>
          <w:tcPr>
            <w:tcW w:w="3150" w:type="dxa"/>
            <w:shd w:val="clear" w:color="auto" w:fill="auto"/>
            <w:vAlign w:val="center"/>
          </w:tcPr>
          <w:p w14:paraId="2CFB721F"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Netsmart TIER® CareRecord™</w:t>
            </w:r>
          </w:p>
        </w:tc>
      </w:tr>
      <w:tr w:rsidR="00E009A4" w:rsidRPr="00557D68" w14:paraId="5F2FB129" w14:textId="77777777" w:rsidTr="00E009A4">
        <w:tc>
          <w:tcPr>
            <w:tcW w:w="764" w:type="dxa"/>
            <w:shd w:val="clear" w:color="auto" w:fill="auto"/>
            <w:vAlign w:val="center"/>
          </w:tcPr>
          <w:p w14:paraId="09EDF25D" w14:textId="77777777" w:rsidR="00E009A4" w:rsidRPr="00557D68" w:rsidRDefault="00E009A4" w:rsidP="00696FD0">
            <w:pPr>
              <w:keepNext/>
              <w:autoSpaceDE w:val="0"/>
              <w:autoSpaceDN w:val="0"/>
              <w:adjustRightInd w:val="0"/>
              <w:jc w:val="center"/>
              <w:rPr>
                <w:rFonts w:ascii="Calibri" w:hAnsi="Calibri"/>
                <w:b/>
                <w:bCs/>
                <w:color w:val="000000" w:themeColor="text1"/>
                <w:sz w:val="20"/>
                <w:szCs w:val="20"/>
              </w:rPr>
            </w:pPr>
            <w:r w:rsidRPr="00557D68">
              <w:rPr>
                <w:rFonts w:ascii="Calibri" w:eastAsia="Calibri" w:hAnsi="Calibri" w:cs="Calibri"/>
                <w:b/>
                <w:bCs/>
                <w:color w:val="000000" w:themeColor="text1"/>
                <w:kern w:val="24"/>
                <w:sz w:val="20"/>
                <w:szCs w:val="20"/>
              </w:rPr>
              <w:t>9</w:t>
            </w:r>
          </w:p>
        </w:tc>
        <w:tc>
          <w:tcPr>
            <w:tcW w:w="1751" w:type="dxa"/>
            <w:shd w:val="clear" w:color="auto" w:fill="auto"/>
            <w:vAlign w:val="center"/>
          </w:tcPr>
          <w:p w14:paraId="08779F19"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Wisconsin</w:t>
            </w:r>
          </w:p>
        </w:tc>
        <w:tc>
          <w:tcPr>
            <w:tcW w:w="2520" w:type="dxa"/>
            <w:shd w:val="clear" w:color="auto" w:fill="auto"/>
            <w:vAlign w:val="center"/>
          </w:tcPr>
          <w:p w14:paraId="701F363B"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Pr>
                <w:rFonts w:ascii="Calibri" w:eastAsia="Calibri" w:hAnsi="Calibri" w:cs="Calibri"/>
                <w:color w:val="000000" w:themeColor="text1"/>
                <w:kern w:val="24"/>
                <w:sz w:val="20"/>
                <w:szCs w:val="20"/>
              </w:rPr>
              <w:t>Freestanding</w:t>
            </w:r>
          </w:p>
        </w:tc>
        <w:tc>
          <w:tcPr>
            <w:tcW w:w="1440" w:type="dxa"/>
            <w:shd w:val="clear" w:color="auto" w:fill="auto"/>
            <w:vAlign w:val="center"/>
          </w:tcPr>
          <w:p w14:paraId="78705F74"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168</w:t>
            </w:r>
          </w:p>
        </w:tc>
        <w:tc>
          <w:tcPr>
            <w:tcW w:w="3150" w:type="dxa"/>
            <w:shd w:val="clear" w:color="auto" w:fill="auto"/>
            <w:vAlign w:val="center"/>
          </w:tcPr>
          <w:p w14:paraId="0A0AE63F" w14:textId="77777777" w:rsidR="00E009A4" w:rsidRPr="00557D68" w:rsidRDefault="00E009A4" w:rsidP="00696FD0">
            <w:pPr>
              <w:keepNext/>
              <w:autoSpaceDE w:val="0"/>
              <w:autoSpaceDN w:val="0"/>
              <w:adjustRightInd w:val="0"/>
              <w:jc w:val="center"/>
              <w:rPr>
                <w:rFonts w:ascii="Calibri" w:hAnsi="Calibri"/>
                <w:color w:val="000000" w:themeColor="text1"/>
                <w:sz w:val="20"/>
                <w:szCs w:val="20"/>
              </w:rPr>
            </w:pPr>
            <w:r w:rsidRPr="00557D68">
              <w:rPr>
                <w:rFonts w:ascii="Calibri" w:eastAsia="Calibri" w:hAnsi="Calibri" w:cs="Calibri"/>
                <w:color w:val="000000" w:themeColor="text1"/>
                <w:kern w:val="24"/>
                <w:sz w:val="20"/>
                <w:szCs w:val="20"/>
              </w:rPr>
              <w:t>Cerner</w:t>
            </w:r>
          </w:p>
        </w:tc>
      </w:tr>
    </w:tbl>
    <w:p w14:paraId="0CABCFC8" w14:textId="77777777" w:rsidR="002B5016" w:rsidRPr="00A25024" w:rsidRDefault="002B5016" w:rsidP="00DB3627">
      <w:pPr>
        <w:autoSpaceDE w:val="0"/>
        <w:autoSpaceDN w:val="0"/>
        <w:adjustRightInd w:val="0"/>
        <w:spacing w:after="0" w:line="240" w:lineRule="auto"/>
        <w:rPr>
          <w:rFonts w:cstheme="minorHAnsi"/>
          <w:bCs/>
        </w:rPr>
      </w:pPr>
    </w:p>
    <w:p w14:paraId="6F8D3B68" w14:textId="32B1F501" w:rsidR="00F81872" w:rsidRDefault="002B5016" w:rsidP="00696FD0">
      <w:pPr>
        <w:autoSpaceDE w:val="0"/>
        <w:autoSpaceDN w:val="0"/>
        <w:adjustRightInd w:val="0"/>
        <w:spacing w:after="120" w:line="240" w:lineRule="auto"/>
        <w:rPr>
          <w:color w:val="0000FF"/>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696FD0" w:rsidRPr="15B07BB9">
        <w:rPr>
          <w:color w:val="0000FF"/>
        </w:rPr>
        <w:t xml:space="preserve">Testing included a total of </w:t>
      </w:r>
      <w:r w:rsidR="00696FD0" w:rsidRPr="00A053F9">
        <w:rPr>
          <w:color w:val="0000FF"/>
        </w:rPr>
        <w:t xml:space="preserve">900 </w:t>
      </w:r>
      <w:r w:rsidR="00CB233B" w:rsidRPr="00A053F9">
        <w:rPr>
          <w:rFonts w:cstheme="minorHAnsi"/>
          <w:color w:val="0000FF"/>
        </w:rPr>
        <w:t xml:space="preserve">patient </w:t>
      </w:r>
      <w:r w:rsidR="00696FD0" w:rsidRPr="00A053F9">
        <w:rPr>
          <w:color w:val="0000FF"/>
        </w:rPr>
        <w:t xml:space="preserve">admissions from the nine IPFs. The </w:t>
      </w:r>
      <w:r w:rsidR="00A0785D" w:rsidRPr="00A053F9">
        <w:rPr>
          <w:color w:val="0000FF"/>
        </w:rPr>
        <w:t>testing sample is comprised of</w:t>
      </w:r>
      <w:r w:rsidR="00696FD0" w:rsidRPr="00A053F9">
        <w:rPr>
          <w:color w:val="0000FF"/>
        </w:rPr>
        <w:t xml:space="preserve"> adult and pediatric </w:t>
      </w:r>
      <w:r w:rsidR="004942AD" w:rsidRPr="00A053F9">
        <w:rPr>
          <w:color w:val="0000FF"/>
        </w:rPr>
        <w:t xml:space="preserve">admissions </w:t>
      </w:r>
      <w:r w:rsidR="00696FD0" w:rsidRPr="00A053F9">
        <w:rPr>
          <w:color w:val="0000FF"/>
        </w:rPr>
        <w:t xml:space="preserve">and has no restriction on insurance type. The only inclusion criterion for testing consisted of </w:t>
      </w:r>
      <w:r w:rsidR="00CB233B" w:rsidRPr="00A053F9">
        <w:rPr>
          <w:rFonts w:cstheme="minorHAnsi"/>
          <w:color w:val="0000FF"/>
        </w:rPr>
        <w:t xml:space="preserve">patient </w:t>
      </w:r>
      <w:r w:rsidR="004942AD" w:rsidRPr="00A053F9">
        <w:rPr>
          <w:color w:val="0000FF"/>
        </w:rPr>
        <w:t>admissions</w:t>
      </w:r>
      <w:r w:rsidR="004942AD" w:rsidRPr="004942AD">
        <w:rPr>
          <w:color w:val="0000FF"/>
        </w:rPr>
        <w:t xml:space="preserve"> to an inpatient facility from home or a non-acute setting</w:t>
      </w:r>
      <w:r w:rsidR="004942AD">
        <w:rPr>
          <w:color w:val="0000FF"/>
        </w:rPr>
        <w:t xml:space="preserve">, including admissions from </w:t>
      </w:r>
      <w:r w:rsidR="00696FD0" w:rsidRPr="15B07BB9">
        <w:rPr>
          <w:color w:val="0000FF"/>
        </w:rPr>
        <w:t>outpatient, emergency</w:t>
      </w:r>
      <w:r w:rsidR="004942AD">
        <w:rPr>
          <w:color w:val="0000FF"/>
        </w:rPr>
        <w:t xml:space="preserve"> department</w:t>
      </w:r>
      <w:r w:rsidR="00696FD0" w:rsidRPr="15B07BB9">
        <w:rPr>
          <w:color w:val="0000FF"/>
        </w:rPr>
        <w:t xml:space="preserve">, or long-term care to the IPF for 24 hours or more. </w:t>
      </w:r>
    </w:p>
    <w:p w14:paraId="0ABD8760" w14:textId="44B4963C" w:rsidR="00696FD0" w:rsidRPr="008A2069" w:rsidRDefault="00696FD0" w:rsidP="00696FD0">
      <w:pPr>
        <w:autoSpaceDE w:val="0"/>
        <w:autoSpaceDN w:val="0"/>
        <w:adjustRightInd w:val="0"/>
        <w:spacing w:after="120" w:line="240" w:lineRule="auto"/>
        <w:rPr>
          <w:color w:val="0000FF"/>
        </w:rPr>
      </w:pPr>
      <w:r w:rsidRPr="00BD0240">
        <w:rPr>
          <w:color w:val="0000FF"/>
        </w:rPr>
        <w:t xml:space="preserve">The requirement for admission duration was imposed because the measure required </w:t>
      </w:r>
      <w:r w:rsidR="00F81872" w:rsidRPr="00BD0240">
        <w:rPr>
          <w:color w:val="0000FF"/>
        </w:rPr>
        <w:t>resolution</w:t>
      </w:r>
      <w:r w:rsidRPr="00BD0240">
        <w:rPr>
          <w:color w:val="0000FF"/>
        </w:rPr>
        <w:t xml:space="preserve"> of PTA medication discrepancies with admission orders (i.e.</w:t>
      </w:r>
      <w:r w:rsidR="00F81872" w:rsidRPr="00BD0240">
        <w:rPr>
          <w:color w:val="0000FF"/>
        </w:rPr>
        <w:t xml:space="preserve">, </w:t>
      </w:r>
      <w:r w:rsidR="00BC2F51" w:rsidRPr="00BD0240">
        <w:rPr>
          <w:color w:val="0000FF"/>
        </w:rPr>
        <w:t>r</w:t>
      </w:r>
      <w:r w:rsidRPr="00BD0240">
        <w:rPr>
          <w:color w:val="0000FF"/>
        </w:rPr>
        <w:t xml:space="preserve">econciliation </w:t>
      </w:r>
      <w:r w:rsidR="00BC2F51" w:rsidRPr="00BD0240">
        <w:rPr>
          <w:color w:val="0000FF"/>
        </w:rPr>
        <w:t>a</w:t>
      </w:r>
      <w:r w:rsidRPr="00BD0240">
        <w:rPr>
          <w:color w:val="0000FF"/>
        </w:rPr>
        <w:t xml:space="preserve">ction by a licensed prescriber) </w:t>
      </w:r>
      <w:r w:rsidR="00F81872" w:rsidRPr="00BD0240">
        <w:rPr>
          <w:color w:val="0000FF"/>
        </w:rPr>
        <w:t>by the end of Day 2 of the hospitalization</w:t>
      </w:r>
      <w:r w:rsidR="00062E72">
        <w:rPr>
          <w:color w:val="0000FF"/>
        </w:rPr>
        <w:t xml:space="preserve"> when the admission is Day 0</w:t>
      </w:r>
      <w:r w:rsidRPr="00BD0240">
        <w:rPr>
          <w:color w:val="0000FF"/>
        </w:rPr>
        <w:t xml:space="preserve">. </w:t>
      </w:r>
    </w:p>
    <w:p w14:paraId="23FF33EF" w14:textId="7A8D73DF" w:rsidR="00696FD0" w:rsidRPr="00B3121D" w:rsidRDefault="00696FD0" w:rsidP="00696FD0">
      <w:pPr>
        <w:shd w:val="clear" w:color="auto" w:fill="FFFFFF" w:themeFill="background1"/>
        <w:spacing w:after="120" w:line="240" w:lineRule="auto"/>
        <w:rPr>
          <w:color w:val="0000FF"/>
        </w:rPr>
      </w:pPr>
      <w:r w:rsidRPr="008A2069">
        <w:rPr>
          <w:color w:val="0000FF"/>
        </w:rPr>
        <w:t>Tables 1.6-A and 1.6-B show the demographic characteristics of the sample by IPF.  IPFs</w:t>
      </w:r>
      <w:r w:rsidRPr="15B07BB9">
        <w:rPr>
          <w:color w:val="0000FF"/>
        </w:rPr>
        <w:t xml:space="preserve"> varied notably in the proportion of pediatric and geriatric patients as well as the </w:t>
      </w:r>
      <w:r w:rsidR="00A0785D">
        <w:rPr>
          <w:color w:val="0000FF"/>
        </w:rPr>
        <w:t xml:space="preserve">proportion of </w:t>
      </w:r>
      <w:r w:rsidRPr="15B07BB9">
        <w:rPr>
          <w:color w:val="0000FF"/>
        </w:rPr>
        <w:t xml:space="preserve">African Americans. </w:t>
      </w:r>
    </w:p>
    <w:p w14:paraId="10782B4C" w14:textId="77777777" w:rsidR="00696FD0" w:rsidRPr="002B3F5D" w:rsidRDefault="00696FD0" w:rsidP="00696FD0">
      <w:pPr>
        <w:keepNext/>
        <w:spacing w:after="0" w:line="240" w:lineRule="auto"/>
        <w:outlineLvl w:val="0"/>
        <w:rPr>
          <w:b/>
          <w:bCs/>
          <w:color w:val="000000" w:themeColor="text1"/>
          <w:sz w:val="20"/>
          <w:szCs w:val="20"/>
        </w:rPr>
      </w:pPr>
      <w:r w:rsidRPr="002B3F5D">
        <w:rPr>
          <w:b/>
          <w:bCs/>
          <w:color w:val="000000" w:themeColor="text1"/>
          <w:sz w:val="20"/>
          <w:szCs w:val="20"/>
        </w:rPr>
        <w:t>Table 1.6-A Age and Gender of Field Testing Population (in percent)</w:t>
      </w:r>
    </w:p>
    <w:tbl>
      <w:tblPr>
        <w:tblStyle w:val="TableGrid"/>
        <w:tblW w:w="9630" w:type="dxa"/>
        <w:tblInd w:w="-5" w:type="dxa"/>
        <w:tblLook w:val="04A0" w:firstRow="1" w:lastRow="0" w:firstColumn="1" w:lastColumn="0" w:noHBand="0" w:noVBand="1"/>
      </w:tblPr>
      <w:tblGrid>
        <w:gridCol w:w="1800"/>
        <w:gridCol w:w="870"/>
        <w:gridCol w:w="870"/>
        <w:gridCol w:w="870"/>
        <w:gridCol w:w="870"/>
        <w:gridCol w:w="870"/>
        <w:gridCol w:w="870"/>
        <w:gridCol w:w="870"/>
        <w:gridCol w:w="870"/>
        <w:gridCol w:w="870"/>
      </w:tblGrid>
      <w:tr w:rsidR="00696FD0" w:rsidRPr="00696FD0" w14:paraId="2C466607" w14:textId="77777777" w:rsidTr="00696FD0">
        <w:trPr>
          <w:tblHeader/>
        </w:trPr>
        <w:tc>
          <w:tcPr>
            <w:tcW w:w="1800" w:type="dxa"/>
            <w:shd w:val="clear" w:color="auto" w:fill="365F91" w:themeFill="accent1" w:themeFillShade="BF"/>
            <w:vAlign w:val="center"/>
          </w:tcPr>
          <w:p w14:paraId="0BE45650" w14:textId="3F7AAB50" w:rsidR="00696FD0" w:rsidRPr="00696FD0" w:rsidRDefault="00696FD0" w:rsidP="00696FD0">
            <w:pPr>
              <w:autoSpaceDE w:val="0"/>
              <w:autoSpaceDN w:val="0"/>
              <w:adjustRightInd w:val="0"/>
              <w:rPr>
                <w:b/>
                <w:color w:val="FFFFFF" w:themeColor="background1"/>
                <w:sz w:val="20"/>
                <w:szCs w:val="20"/>
              </w:rPr>
            </w:pPr>
          </w:p>
        </w:tc>
        <w:tc>
          <w:tcPr>
            <w:tcW w:w="870" w:type="dxa"/>
            <w:shd w:val="clear" w:color="auto" w:fill="365F91" w:themeFill="accent1" w:themeFillShade="BF"/>
            <w:vAlign w:val="center"/>
          </w:tcPr>
          <w:p w14:paraId="51CFDF67"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1</w:t>
            </w:r>
          </w:p>
        </w:tc>
        <w:tc>
          <w:tcPr>
            <w:tcW w:w="870" w:type="dxa"/>
            <w:shd w:val="clear" w:color="auto" w:fill="365F91" w:themeFill="accent1" w:themeFillShade="BF"/>
            <w:vAlign w:val="center"/>
          </w:tcPr>
          <w:p w14:paraId="2EBA4FEE"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2</w:t>
            </w:r>
          </w:p>
        </w:tc>
        <w:tc>
          <w:tcPr>
            <w:tcW w:w="870" w:type="dxa"/>
            <w:shd w:val="clear" w:color="auto" w:fill="365F91" w:themeFill="accent1" w:themeFillShade="BF"/>
            <w:vAlign w:val="center"/>
          </w:tcPr>
          <w:p w14:paraId="3C992B50"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3</w:t>
            </w:r>
          </w:p>
        </w:tc>
        <w:tc>
          <w:tcPr>
            <w:tcW w:w="870" w:type="dxa"/>
            <w:shd w:val="clear" w:color="auto" w:fill="365F91" w:themeFill="accent1" w:themeFillShade="BF"/>
            <w:vAlign w:val="center"/>
          </w:tcPr>
          <w:p w14:paraId="5B1F6B56"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4</w:t>
            </w:r>
          </w:p>
        </w:tc>
        <w:tc>
          <w:tcPr>
            <w:tcW w:w="870" w:type="dxa"/>
            <w:shd w:val="clear" w:color="auto" w:fill="365F91" w:themeFill="accent1" w:themeFillShade="BF"/>
            <w:vAlign w:val="center"/>
          </w:tcPr>
          <w:p w14:paraId="5F65A2D3"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5</w:t>
            </w:r>
          </w:p>
        </w:tc>
        <w:tc>
          <w:tcPr>
            <w:tcW w:w="870" w:type="dxa"/>
            <w:shd w:val="clear" w:color="auto" w:fill="365F91" w:themeFill="accent1" w:themeFillShade="BF"/>
            <w:vAlign w:val="center"/>
          </w:tcPr>
          <w:p w14:paraId="592457A9"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6</w:t>
            </w:r>
          </w:p>
        </w:tc>
        <w:tc>
          <w:tcPr>
            <w:tcW w:w="870" w:type="dxa"/>
            <w:shd w:val="clear" w:color="auto" w:fill="365F91" w:themeFill="accent1" w:themeFillShade="BF"/>
            <w:vAlign w:val="center"/>
          </w:tcPr>
          <w:p w14:paraId="6243D485"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7</w:t>
            </w:r>
          </w:p>
        </w:tc>
        <w:tc>
          <w:tcPr>
            <w:tcW w:w="870" w:type="dxa"/>
            <w:shd w:val="clear" w:color="auto" w:fill="365F91" w:themeFill="accent1" w:themeFillShade="BF"/>
            <w:vAlign w:val="center"/>
          </w:tcPr>
          <w:p w14:paraId="5F3CE242"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8</w:t>
            </w:r>
          </w:p>
        </w:tc>
        <w:tc>
          <w:tcPr>
            <w:tcW w:w="870" w:type="dxa"/>
            <w:shd w:val="clear" w:color="auto" w:fill="365F91" w:themeFill="accent1" w:themeFillShade="BF"/>
            <w:vAlign w:val="center"/>
          </w:tcPr>
          <w:p w14:paraId="3DC0E60D"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9</w:t>
            </w:r>
          </w:p>
        </w:tc>
      </w:tr>
      <w:tr w:rsidR="00696FD0" w:rsidRPr="00384351" w14:paraId="114173B5" w14:textId="77777777" w:rsidTr="00696FD0">
        <w:tc>
          <w:tcPr>
            <w:tcW w:w="1800" w:type="dxa"/>
            <w:shd w:val="clear" w:color="auto" w:fill="auto"/>
            <w:vAlign w:val="center"/>
          </w:tcPr>
          <w:p w14:paraId="23C4E433"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 xml:space="preserve">No. Records </w:t>
            </w:r>
          </w:p>
        </w:tc>
        <w:tc>
          <w:tcPr>
            <w:tcW w:w="870" w:type="dxa"/>
            <w:shd w:val="clear" w:color="auto" w:fill="auto"/>
            <w:vAlign w:val="center"/>
          </w:tcPr>
          <w:p w14:paraId="53734135"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SimSun" w:cs="Calibri,SimSun"/>
                <w:color w:val="000000" w:themeColor="text1"/>
                <w:kern w:val="24"/>
                <w:sz w:val="20"/>
                <w:szCs w:val="20"/>
                <w:lang w:eastAsia="zh-CN"/>
              </w:rPr>
              <w:t>100</w:t>
            </w:r>
          </w:p>
        </w:tc>
        <w:tc>
          <w:tcPr>
            <w:tcW w:w="870" w:type="dxa"/>
            <w:shd w:val="clear" w:color="auto" w:fill="auto"/>
            <w:vAlign w:val="center"/>
          </w:tcPr>
          <w:p w14:paraId="07996F71" w14:textId="77777777" w:rsidR="00696FD0" w:rsidRPr="005E237E" w:rsidRDefault="00696FD0" w:rsidP="00696FD0">
            <w:pPr>
              <w:autoSpaceDE w:val="0"/>
              <w:autoSpaceDN w:val="0"/>
              <w:adjustRightInd w:val="0"/>
              <w:jc w:val="center"/>
              <w:rPr>
                <w:color w:val="000000" w:themeColor="text1"/>
                <w:sz w:val="20"/>
                <w:szCs w:val="20"/>
              </w:rPr>
            </w:pPr>
            <w:r w:rsidRPr="1B319BFB">
              <w:rPr>
                <w:rFonts w:eastAsia="Calibri" w:cs="Calibri"/>
                <w:color w:val="000000" w:themeColor="text1"/>
                <w:kern w:val="24"/>
                <w:sz w:val="20"/>
                <w:szCs w:val="20"/>
              </w:rPr>
              <w:t>100</w:t>
            </w:r>
          </w:p>
        </w:tc>
        <w:tc>
          <w:tcPr>
            <w:tcW w:w="870" w:type="dxa"/>
            <w:shd w:val="clear" w:color="auto" w:fill="auto"/>
            <w:vAlign w:val="center"/>
          </w:tcPr>
          <w:p w14:paraId="2454E5B8"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10</w:t>
            </w:r>
            <w:r w:rsidRPr="1B319BFB">
              <w:rPr>
                <w:rFonts w:eastAsia="Calibri" w:cs="Calibri"/>
                <w:color w:val="000000" w:themeColor="text1"/>
                <w:kern w:val="24"/>
                <w:sz w:val="20"/>
                <w:szCs w:val="20"/>
                <w:lang w:eastAsia="zh-CN"/>
              </w:rPr>
              <w:t>0</w:t>
            </w:r>
          </w:p>
        </w:tc>
        <w:tc>
          <w:tcPr>
            <w:tcW w:w="870" w:type="dxa"/>
            <w:shd w:val="clear" w:color="auto" w:fill="auto"/>
            <w:vAlign w:val="center"/>
          </w:tcPr>
          <w:p w14:paraId="67FD8900" w14:textId="77777777" w:rsidR="00696FD0" w:rsidRPr="005E237E" w:rsidRDefault="00696FD0" w:rsidP="00696FD0">
            <w:pPr>
              <w:autoSpaceDE w:val="0"/>
              <w:autoSpaceDN w:val="0"/>
              <w:adjustRightInd w:val="0"/>
              <w:jc w:val="center"/>
              <w:rPr>
                <w:color w:val="000000" w:themeColor="text1"/>
                <w:sz w:val="20"/>
                <w:szCs w:val="20"/>
              </w:rPr>
            </w:pPr>
            <w:r w:rsidRPr="1B319BFB">
              <w:rPr>
                <w:rFonts w:eastAsia="Calibri" w:cs="Calibri"/>
                <w:color w:val="000000" w:themeColor="text1"/>
                <w:kern w:val="24"/>
                <w:sz w:val="20"/>
                <w:szCs w:val="20"/>
              </w:rPr>
              <w:t>100</w:t>
            </w:r>
          </w:p>
        </w:tc>
        <w:tc>
          <w:tcPr>
            <w:tcW w:w="870" w:type="dxa"/>
            <w:shd w:val="clear" w:color="auto" w:fill="auto"/>
            <w:vAlign w:val="center"/>
          </w:tcPr>
          <w:p w14:paraId="047DB7F2" w14:textId="77777777" w:rsidR="00696FD0" w:rsidRPr="005E237E" w:rsidRDefault="00696FD0" w:rsidP="00696FD0">
            <w:pPr>
              <w:autoSpaceDE w:val="0"/>
              <w:autoSpaceDN w:val="0"/>
              <w:adjustRightInd w:val="0"/>
              <w:jc w:val="center"/>
              <w:rPr>
                <w:color w:val="000000" w:themeColor="text1"/>
                <w:sz w:val="20"/>
                <w:szCs w:val="20"/>
              </w:rPr>
            </w:pPr>
            <w:r w:rsidRPr="1B319BFB">
              <w:rPr>
                <w:rFonts w:eastAsia="Calibri" w:cs="Calibri"/>
                <w:color w:val="000000" w:themeColor="text1"/>
                <w:kern w:val="24"/>
                <w:sz w:val="20"/>
                <w:szCs w:val="20"/>
              </w:rPr>
              <w:t>100</w:t>
            </w:r>
          </w:p>
        </w:tc>
        <w:tc>
          <w:tcPr>
            <w:tcW w:w="870" w:type="dxa"/>
            <w:shd w:val="clear" w:color="auto" w:fill="auto"/>
            <w:vAlign w:val="center"/>
          </w:tcPr>
          <w:p w14:paraId="66066473" w14:textId="77777777" w:rsidR="00696FD0" w:rsidRPr="005E237E" w:rsidRDefault="00696FD0" w:rsidP="00696FD0">
            <w:pPr>
              <w:autoSpaceDE w:val="0"/>
              <w:autoSpaceDN w:val="0"/>
              <w:adjustRightInd w:val="0"/>
              <w:jc w:val="center"/>
              <w:rPr>
                <w:color w:val="000000" w:themeColor="text1"/>
                <w:sz w:val="20"/>
                <w:szCs w:val="20"/>
              </w:rPr>
            </w:pPr>
            <w:r w:rsidRPr="1B319BFB">
              <w:rPr>
                <w:rFonts w:eastAsia="Calibri" w:cs="Calibri"/>
                <w:color w:val="000000" w:themeColor="text1"/>
                <w:kern w:val="24"/>
                <w:sz w:val="20"/>
                <w:szCs w:val="20"/>
              </w:rPr>
              <w:t>100</w:t>
            </w:r>
          </w:p>
        </w:tc>
        <w:tc>
          <w:tcPr>
            <w:tcW w:w="870" w:type="dxa"/>
            <w:shd w:val="clear" w:color="auto" w:fill="auto"/>
            <w:vAlign w:val="center"/>
          </w:tcPr>
          <w:p w14:paraId="1E48900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10</w:t>
            </w:r>
            <w:r w:rsidRPr="1B319BFB">
              <w:rPr>
                <w:rFonts w:eastAsia="Calibri" w:cs="Calibri"/>
                <w:color w:val="000000" w:themeColor="text1"/>
                <w:kern w:val="24"/>
                <w:sz w:val="20"/>
                <w:szCs w:val="20"/>
                <w:lang w:eastAsia="zh-CN"/>
              </w:rPr>
              <w:t>0</w:t>
            </w:r>
          </w:p>
        </w:tc>
        <w:tc>
          <w:tcPr>
            <w:tcW w:w="870" w:type="dxa"/>
            <w:shd w:val="clear" w:color="auto" w:fill="auto"/>
            <w:vAlign w:val="center"/>
          </w:tcPr>
          <w:p w14:paraId="60CB41B9"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10</w:t>
            </w:r>
            <w:r w:rsidRPr="1B319BFB">
              <w:rPr>
                <w:rFonts w:eastAsia="Calibri" w:cs="Calibri"/>
                <w:color w:val="000000" w:themeColor="text1"/>
                <w:kern w:val="24"/>
                <w:sz w:val="20"/>
                <w:szCs w:val="20"/>
                <w:lang w:eastAsia="zh-CN"/>
              </w:rPr>
              <w:t>0</w:t>
            </w:r>
          </w:p>
        </w:tc>
        <w:tc>
          <w:tcPr>
            <w:tcW w:w="870" w:type="dxa"/>
            <w:shd w:val="clear" w:color="auto" w:fill="auto"/>
            <w:vAlign w:val="center"/>
          </w:tcPr>
          <w:p w14:paraId="70A551D6" w14:textId="77777777" w:rsidR="00696FD0" w:rsidRPr="005E237E" w:rsidRDefault="00696FD0" w:rsidP="00696FD0">
            <w:pPr>
              <w:autoSpaceDE w:val="0"/>
              <w:autoSpaceDN w:val="0"/>
              <w:adjustRightInd w:val="0"/>
              <w:jc w:val="center"/>
              <w:rPr>
                <w:color w:val="000000" w:themeColor="text1"/>
                <w:sz w:val="20"/>
                <w:szCs w:val="20"/>
              </w:rPr>
            </w:pPr>
            <w:r w:rsidRPr="1B319BFB">
              <w:rPr>
                <w:rFonts w:eastAsia="Calibri" w:cs="Calibri"/>
                <w:color w:val="000000" w:themeColor="text1"/>
                <w:kern w:val="24"/>
                <w:sz w:val="20"/>
                <w:szCs w:val="20"/>
              </w:rPr>
              <w:t>100</w:t>
            </w:r>
          </w:p>
        </w:tc>
      </w:tr>
      <w:tr w:rsidR="00696FD0" w:rsidRPr="00384351" w14:paraId="30134421" w14:textId="77777777" w:rsidTr="00696FD0">
        <w:tc>
          <w:tcPr>
            <w:tcW w:w="1800" w:type="dxa"/>
            <w:shd w:val="clear" w:color="auto" w:fill="auto"/>
            <w:vAlign w:val="center"/>
          </w:tcPr>
          <w:p w14:paraId="1700AF10"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 xml:space="preserve">0-18 </w:t>
            </w:r>
          </w:p>
        </w:tc>
        <w:tc>
          <w:tcPr>
            <w:tcW w:w="870" w:type="dxa"/>
            <w:shd w:val="clear" w:color="auto" w:fill="auto"/>
            <w:vAlign w:val="center"/>
          </w:tcPr>
          <w:p w14:paraId="1048B728"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50A731CD"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392E6F1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10</w:t>
            </w:r>
          </w:p>
        </w:tc>
        <w:tc>
          <w:tcPr>
            <w:tcW w:w="870" w:type="dxa"/>
            <w:shd w:val="clear" w:color="auto" w:fill="auto"/>
            <w:vAlign w:val="center"/>
          </w:tcPr>
          <w:p w14:paraId="4569D67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45</w:t>
            </w:r>
          </w:p>
        </w:tc>
        <w:tc>
          <w:tcPr>
            <w:tcW w:w="870" w:type="dxa"/>
            <w:shd w:val="clear" w:color="auto" w:fill="auto"/>
            <w:vAlign w:val="center"/>
          </w:tcPr>
          <w:p w14:paraId="0854B99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40</w:t>
            </w:r>
          </w:p>
        </w:tc>
        <w:tc>
          <w:tcPr>
            <w:tcW w:w="870" w:type="dxa"/>
            <w:shd w:val="clear" w:color="auto" w:fill="auto"/>
            <w:vAlign w:val="center"/>
          </w:tcPr>
          <w:p w14:paraId="3561B2F3"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001AD1D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w:t>
            </w:r>
          </w:p>
        </w:tc>
        <w:tc>
          <w:tcPr>
            <w:tcW w:w="870" w:type="dxa"/>
            <w:shd w:val="clear" w:color="auto" w:fill="auto"/>
            <w:vAlign w:val="center"/>
          </w:tcPr>
          <w:p w14:paraId="1FF21754"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r w:rsidRPr="1B319BFB">
              <w:rPr>
                <w:rFonts w:eastAsia="Calibri" w:cs="Calibri"/>
                <w:color w:val="000000" w:themeColor="text1"/>
                <w:kern w:val="24"/>
                <w:sz w:val="20"/>
                <w:szCs w:val="20"/>
                <w:lang w:eastAsia="zh-CN"/>
              </w:rPr>
              <w:t>4</w:t>
            </w:r>
          </w:p>
        </w:tc>
        <w:tc>
          <w:tcPr>
            <w:tcW w:w="870" w:type="dxa"/>
            <w:shd w:val="clear" w:color="auto" w:fill="auto"/>
            <w:vAlign w:val="center"/>
          </w:tcPr>
          <w:p w14:paraId="2575B7A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50</w:t>
            </w:r>
          </w:p>
        </w:tc>
      </w:tr>
      <w:tr w:rsidR="00696FD0" w:rsidRPr="00384351" w14:paraId="52187839" w14:textId="77777777" w:rsidTr="00696FD0">
        <w:tc>
          <w:tcPr>
            <w:tcW w:w="1800" w:type="dxa"/>
            <w:shd w:val="clear" w:color="auto" w:fill="auto"/>
            <w:vAlign w:val="center"/>
          </w:tcPr>
          <w:p w14:paraId="6E29843F"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19-24</w:t>
            </w:r>
          </w:p>
        </w:tc>
        <w:tc>
          <w:tcPr>
            <w:tcW w:w="870" w:type="dxa"/>
            <w:shd w:val="clear" w:color="auto" w:fill="auto"/>
            <w:vAlign w:val="center"/>
          </w:tcPr>
          <w:p w14:paraId="49C3520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4</w:t>
            </w:r>
          </w:p>
        </w:tc>
        <w:tc>
          <w:tcPr>
            <w:tcW w:w="870" w:type="dxa"/>
            <w:shd w:val="clear" w:color="auto" w:fill="auto"/>
            <w:vAlign w:val="center"/>
          </w:tcPr>
          <w:p w14:paraId="652FD5F3"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20</w:t>
            </w:r>
          </w:p>
        </w:tc>
        <w:tc>
          <w:tcPr>
            <w:tcW w:w="870" w:type="dxa"/>
            <w:shd w:val="clear" w:color="auto" w:fill="auto"/>
            <w:vAlign w:val="center"/>
          </w:tcPr>
          <w:p w14:paraId="772FB69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10</w:t>
            </w:r>
          </w:p>
        </w:tc>
        <w:tc>
          <w:tcPr>
            <w:tcW w:w="870" w:type="dxa"/>
            <w:shd w:val="clear" w:color="auto" w:fill="auto"/>
            <w:vAlign w:val="center"/>
          </w:tcPr>
          <w:p w14:paraId="7C7C036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18</w:t>
            </w:r>
          </w:p>
        </w:tc>
        <w:tc>
          <w:tcPr>
            <w:tcW w:w="870" w:type="dxa"/>
            <w:shd w:val="clear" w:color="auto" w:fill="auto"/>
            <w:vAlign w:val="center"/>
          </w:tcPr>
          <w:p w14:paraId="3C9CB80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12</w:t>
            </w:r>
          </w:p>
        </w:tc>
        <w:tc>
          <w:tcPr>
            <w:tcW w:w="870" w:type="dxa"/>
            <w:shd w:val="clear" w:color="auto" w:fill="auto"/>
            <w:vAlign w:val="center"/>
          </w:tcPr>
          <w:p w14:paraId="634CC460"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13167CEE"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8</w:t>
            </w:r>
          </w:p>
        </w:tc>
        <w:tc>
          <w:tcPr>
            <w:tcW w:w="870" w:type="dxa"/>
            <w:shd w:val="clear" w:color="auto" w:fill="auto"/>
            <w:vAlign w:val="center"/>
          </w:tcPr>
          <w:p w14:paraId="60C3791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460893BC"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8</w:t>
            </w:r>
          </w:p>
        </w:tc>
      </w:tr>
      <w:tr w:rsidR="00696FD0" w:rsidRPr="00384351" w14:paraId="2ABDC51C" w14:textId="77777777" w:rsidTr="00696FD0">
        <w:tc>
          <w:tcPr>
            <w:tcW w:w="1800" w:type="dxa"/>
            <w:shd w:val="clear" w:color="auto" w:fill="auto"/>
            <w:vAlign w:val="center"/>
          </w:tcPr>
          <w:p w14:paraId="0FC91640"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25-34</w:t>
            </w:r>
          </w:p>
        </w:tc>
        <w:tc>
          <w:tcPr>
            <w:tcW w:w="870" w:type="dxa"/>
            <w:shd w:val="clear" w:color="auto" w:fill="auto"/>
            <w:vAlign w:val="center"/>
          </w:tcPr>
          <w:p w14:paraId="30674C2C"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12</w:t>
            </w:r>
          </w:p>
        </w:tc>
        <w:tc>
          <w:tcPr>
            <w:tcW w:w="870" w:type="dxa"/>
            <w:shd w:val="clear" w:color="auto" w:fill="auto"/>
            <w:vAlign w:val="center"/>
          </w:tcPr>
          <w:p w14:paraId="05E2134C"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29</w:t>
            </w:r>
          </w:p>
        </w:tc>
        <w:tc>
          <w:tcPr>
            <w:tcW w:w="870" w:type="dxa"/>
            <w:shd w:val="clear" w:color="auto" w:fill="auto"/>
            <w:vAlign w:val="center"/>
          </w:tcPr>
          <w:p w14:paraId="4D0AFFE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28</w:t>
            </w:r>
          </w:p>
        </w:tc>
        <w:tc>
          <w:tcPr>
            <w:tcW w:w="870" w:type="dxa"/>
            <w:shd w:val="clear" w:color="auto" w:fill="auto"/>
            <w:vAlign w:val="center"/>
          </w:tcPr>
          <w:p w14:paraId="3A076090"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9</w:t>
            </w:r>
          </w:p>
        </w:tc>
        <w:tc>
          <w:tcPr>
            <w:tcW w:w="870" w:type="dxa"/>
            <w:shd w:val="clear" w:color="auto" w:fill="auto"/>
            <w:vAlign w:val="center"/>
          </w:tcPr>
          <w:p w14:paraId="48103786"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18</w:t>
            </w:r>
          </w:p>
        </w:tc>
        <w:tc>
          <w:tcPr>
            <w:tcW w:w="870" w:type="dxa"/>
            <w:shd w:val="clear" w:color="auto" w:fill="auto"/>
            <w:vAlign w:val="center"/>
          </w:tcPr>
          <w:p w14:paraId="312EE6E6"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6F5CC983"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36</w:t>
            </w:r>
          </w:p>
        </w:tc>
        <w:tc>
          <w:tcPr>
            <w:tcW w:w="870" w:type="dxa"/>
            <w:shd w:val="clear" w:color="auto" w:fill="auto"/>
            <w:vAlign w:val="center"/>
          </w:tcPr>
          <w:p w14:paraId="55AB9D20"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6</w:t>
            </w:r>
          </w:p>
        </w:tc>
        <w:tc>
          <w:tcPr>
            <w:tcW w:w="870" w:type="dxa"/>
            <w:shd w:val="clear" w:color="auto" w:fill="auto"/>
            <w:vAlign w:val="center"/>
          </w:tcPr>
          <w:p w14:paraId="33B7BC40"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7</w:t>
            </w:r>
          </w:p>
        </w:tc>
      </w:tr>
      <w:tr w:rsidR="00696FD0" w:rsidRPr="00384351" w14:paraId="269088D1" w14:textId="77777777" w:rsidTr="00696FD0">
        <w:tc>
          <w:tcPr>
            <w:tcW w:w="1800" w:type="dxa"/>
            <w:shd w:val="clear" w:color="auto" w:fill="auto"/>
            <w:vAlign w:val="center"/>
          </w:tcPr>
          <w:p w14:paraId="4D3F7F30"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35-44</w:t>
            </w:r>
          </w:p>
        </w:tc>
        <w:tc>
          <w:tcPr>
            <w:tcW w:w="870" w:type="dxa"/>
            <w:shd w:val="clear" w:color="auto" w:fill="auto"/>
            <w:vAlign w:val="center"/>
          </w:tcPr>
          <w:p w14:paraId="17FF413C"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18</w:t>
            </w:r>
          </w:p>
        </w:tc>
        <w:tc>
          <w:tcPr>
            <w:tcW w:w="870" w:type="dxa"/>
            <w:shd w:val="clear" w:color="auto" w:fill="auto"/>
            <w:vAlign w:val="center"/>
          </w:tcPr>
          <w:p w14:paraId="36766AB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12</w:t>
            </w:r>
          </w:p>
        </w:tc>
        <w:tc>
          <w:tcPr>
            <w:tcW w:w="870" w:type="dxa"/>
            <w:shd w:val="clear" w:color="auto" w:fill="auto"/>
            <w:vAlign w:val="center"/>
          </w:tcPr>
          <w:p w14:paraId="77E9F3F4"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22</w:t>
            </w:r>
          </w:p>
        </w:tc>
        <w:tc>
          <w:tcPr>
            <w:tcW w:w="870" w:type="dxa"/>
            <w:shd w:val="clear" w:color="auto" w:fill="auto"/>
            <w:vAlign w:val="center"/>
          </w:tcPr>
          <w:p w14:paraId="6540DE49"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11</w:t>
            </w:r>
          </w:p>
        </w:tc>
        <w:tc>
          <w:tcPr>
            <w:tcW w:w="870" w:type="dxa"/>
            <w:shd w:val="clear" w:color="auto" w:fill="auto"/>
            <w:vAlign w:val="center"/>
          </w:tcPr>
          <w:p w14:paraId="049C8019"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10</w:t>
            </w:r>
          </w:p>
        </w:tc>
        <w:tc>
          <w:tcPr>
            <w:tcW w:w="870" w:type="dxa"/>
            <w:shd w:val="clear" w:color="auto" w:fill="auto"/>
            <w:vAlign w:val="center"/>
          </w:tcPr>
          <w:p w14:paraId="02EAEFF0"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0A038E2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r w:rsidRPr="1B319BFB">
              <w:rPr>
                <w:rFonts w:eastAsia="Calibri" w:cs="Calibri"/>
                <w:color w:val="000000" w:themeColor="text1"/>
                <w:kern w:val="24"/>
                <w:sz w:val="20"/>
                <w:szCs w:val="20"/>
                <w:lang w:eastAsia="zh-CN"/>
              </w:rPr>
              <w:t>3</w:t>
            </w:r>
          </w:p>
        </w:tc>
        <w:tc>
          <w:tcPr>
            <w:tcW w:w="870" w:type="dxa"/>
            <w:shd w:val="clear" w:color="auto" w:fill="auto"/>
            <w:vAlign w:val="center"/>
          </w:tcPr>
          <w:p w14:paraId="457117FB"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7</w:t>
            </w:r>
          </w:p>
        </w:tc>
        <w:tc>
          <w:tcPr>
            <w:tcW w:w="870" w:type="dxa"/>
            <w:shd w:val="clear" w:color="auto" w:fill="auto"/>
            <w:vAlign w:val="center"/>
          </w:tcPr>
          <w:p w14:paraId="1EB1D04B"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r>
      <w:tr w:rsidR="00696FD0" w:rsidRPr="00384351" w14:paraId="27FAE75B" w14:textId="77777777" w:rsidTr="00696FD0">
        <w:tc>
          <w:tcPr>
            <w:tcW w:w="1800" w:type="dxa"/>
            <w:shd w:val="clear" w:color="auto" w:fill="auto"/>
            <w:vAlign w:val="center"/>
          </w:tcPr>
          <w:p w14:paraId="11DD7CEA"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45-54</w:t>
            </w:r>
          </w:p>
        </w:tc>
        <w:tc>
          <w:tcPr>
            <w:tcW w:w="870" w:type="dxa"/>
            <w:shd w:val="clear" w:color="auto" w:fill="auto"/>
            <w:vAlign w:val="center"/>
          </w:tcPr>
          <w:p w14:paraId="790DDF51"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r w:rsidRPr="1B319BFB">
              <w:rPr>
                <w:rFonts w:eastAsia="Calibri" w:cs="Calibri"/>
                <w:color w:val="000000" w:themeColor="text1"/>
                <w:kern w:val="24"/>
                <w:sz w:val="20"/>
                <w:szCs w:val="20"/>
                <w:lang w:eastAsia="zh-CN"/>
              </w:rPr>
              <w:t>8</w:t>
            </w:r>
          </w:p>
        </w:tc>
        <w:tc>
          <w:tcPr>
            <w:tcW w:w="870" w:type="dxa"/>
            <w:shd w:val="clear" w:color="auto" w:fill="auto"/>
            <w:vAlign w:val="center"/>
          </w:tcPr>
          <w:p w14:paraId="243D1D1D"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19</w:t>
            </w:r>
          </w:p>
        </w:tc>
        <w:tc>
          <w:tcPr>
            <w:tcW w:w="870" w:type="dxa"/>
            <w:shd w:val="clear" w:color="auto" w:fill="auto"/>
            <w:vAlign w:val="center"/>
          </w:tcPr>
          <w:p w14:paraId="5792B095"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r w:rsidRPr="1B319BFB">
              <w:rPr>
                <w:rFonts w:eastAsia="Calibri" w:cs="Calibri"/>
                <w:color w:val="000000" w:themeColor="text1"/>
                <w:kern w:val="24"/>
                <w:sz w:val="20"/>
                <w:szCs w:val="20"/>
                <w:lang w:eastAsia="zh-CN"/>
              </w:rPr>
              <w:t>7</w:t>
            </w:r>
          </w:p>
        </w:tc>
        <w:tc>
          <w:tcPr>
            <w:tcW w:w="870" w:type="dxa"/>
            <w:shd w:val="clear" w:color="auto" w:fill="auto"/>
            <w:vAlign w:val="center"/>
          </w:tcPr>
          <w:p w14:paraId="318D362C"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11</w:t>
            </w:r>
          </w:p>
        </w:tc>
        <w:tc>
          <w:tcPr>
            <w:tcW w:w="870" w:type="dxa"/>
            <w:shd w:val="clear" w:color="auto" w:fill="auto"/>
            <w:vAlign w:val="center"/>
          </w:tcPr>
          <w:p w14:paraId="1163FAFF"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9</w:t>
            </w:r>
          </w:p>
        </w:tc>
        <w:tc>
          <w:tcPr>
            <w:tcW w:w="870" w:type="dxa"/>
            <w:shd w:val="clear" w:color="auto" w:fill="auto"/>
            <w:vAlign w:val="center"/>
          </w:tcPr>
          <w:p w14:paraId="43A0C74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0A09C2F1"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r w:rsidRPr="1B319BFB">
              <w:rPr>
                <w:rFonts w:eastAsia="Calibri" w:cs="Calibri"/>
                <w:color w:val="000000" w:themeColor="text1"/>
                <w:kern w:val="24"/>
                <w:sz w:val="20"/>
                <w:szCs w:val="20"/>
                <w:lang w:eastAsia="zh-CN"/>
              </w:rPr>
              <w:t>6</w:t>
            </w:r>
          </w:p>
        </w:tc>
        <w:tc>
          <w:tcPr>
            <w:tcW w:w="870" w:type="dxa"/>
            <w:shd w:val="clear" w:color="auto" w:fill="auto"/>
            <w:vAlign w:val="center"/>
          </w:tcPr>
          <w:p w14:paraId="33884A5A"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12</w:t>
            </w:r>
          </w:p>
        </w:tc>
        <w:tc>
          <w:tcPr>
            <w:tcW w:w="870" w:type="dxa"/>
            <w:shd w:val="clear" w:color="auto" w:fill="auto"/>
            <w:vAlign w:val="center"/>
          </w:tcPr>
          <w:p w14:paraId="0E993E6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r>
      <w:tr w:rsidR="00696FD0" w:rsidRPr="00384351" w14:paraId="6779B0F1" w14:textId="77777777" w:rsidTr="00696FD0">
        <w:tc>
          <w:tcPr>
            <w:tcW w:w="1800" w:type="dxa"/>
            <w:shd w:val="clear" w:color="auto" w:fill="auto"/>
            <w:vAlign w:val="center"/>
          </w:tcPr>
          <w:p w14:paraId="5F8A58E9"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55-64</w:t>
            </w:r>
          </w:p>
        </w:tc>
        <w:tc>
          <w:tcPr>
            <w:tcW w:w="870" w:type="dxa"/>
            <w:shd w:val="clear" w:color="auto" w:fill="auto"/>
            <w:vAlign w:val="center"/>
          </w:tcPr>
          <w:p w14:paraId="5981CE1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r w:rsidRPr="1B319BFB">
              <w:rPr>
                <w:rFonts w:eastAsia="Calibri" w:cs="Calibri"/>
                <w:color w:val="000000" w:themeColor="text1"/>
                <w:kern w:val="24"/>
                <w:sz w:val="20"/>
                <w:szCs w:val="20"/>
                <w:lang w:eastAsia="zh-CN"/>
              </w:rPr>
              <w:t>8</w:t>
            </w:r>
          </w:p>
        </w:tc>
        <w:tc>
          <w:tcPr>
            <w:tcW w:w="870" w:type="dxa"/>
            <w:shd w:val="clear" w:color="auto" w:fill="auto"/>
            <w:vAlign w:val="center"/>
          </w:tcPr>
          <w:p w14:paraId="63CC3453"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12</w:t>
            </w:r>
          </w:p>
        </w:tc>
        <w:tc>
          <w:tcPr>
            <w:tcW w:w="870" w:type="dxa"/>
            <w:shd w:val="clear" w:color="auto" w:fill="auto"/>
            <w:vAlign w:val="center"/>
          </w:tcPr>
          <w:p w14:paraId="2C004A8A"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11</w:t>
            </w:r>
          </w:p>
        </w:tc>
        <w:tc>
          <w:tcPr>
            <w:tcW w:w="870" w:type="dxa"/>
            <w:shd w:val="clear" w:color="auto" w:fill="auto"/>
            <w:vAlign w:val="center"/>
          </w:tcPr>
          <w:p w14:paraId="223869AD"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693AC7A5"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w:t>
            </w:r>
          </w:p>
        </w:tc>
        <w:tc>
          <w:tcPr>
            <w:tcW w:w="870" w:type="dxa"/>
            <w:shd w:val="clear" w:color="auto" w:fill="auto"/>
            <w:vAlign w:val="center"/>
          </w:tcPr>
          <w:p w14:paraId="0F09EED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0B1B94A8"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r w:rsidRPr="1B319BFB">
              <w:rPr>
                <w:rFonts w:eastAsia="Calibri" w:cs="Calibri"/>
                <w:color w:val="000000" w:themeColor="text1"/>
                <w:kern w:val="24"/>
                <w:sz w:val="20"/>
                <w:szCs w:val="20"/>
                <w:lang w:eastAsia="zh-CN"/>
              </w:rPr>
              <w:t>1</w:t>
            </w:r>
          </w:p>
        </w:tc>
        <w:tc>
          <w:tcPr>
            <w:tcW w:w="870" w:type="dxa"/>
            <w:shd w:val="clear" w:color="auto" w:fill="auto"/>
            <w:vAlign w:val="center"/>
          </w:tcPr>
          <w:p w14:paraId="3C22A482"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r w:rsidRPr="1B319BFB">
              <w:rPr>
                <w:rFonts w:eastAsia="Calibri" w:cs="Calibri"/>
                <w:color w:val="000000" w:themeColor="text1"/>
                <w:kern w:val="24"/>
                <w:sz w:val="20"/>
                <w:szCs w:val="20"/>
                <w:lang w:eastAsia="zh-CN"/>
              </w:rPr>
              <w:t>6</w:t>
            </w:r>
          </w:p>
        </w:tc>
        <w:tc>
          <w:tcPr>
            <w:tcW w:w="870" w:type="dxa"/>
            <w:shd w:val="clear" w:color="auto" w:fill="auto"/>
            <w:vAlign w:val="center"/>
          </w:tcPr>
          <w:p w14:paraId="180DE0E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r>
      <w:tr w:rsidR="00696FD0" w:rsidRPr="00384351" w14:paraId="4DA05A54" w14:textId="77777777" w:rsidTr="00696FD0">
        <w:tc>
          <w:tcPr>
            <w:tcW w:w="1800" w:type="dxa"/>
            <w:shd w:val="clear" w:color="auto" w:fill="auto"/>
            <w:vAlign w:val="center"/>
          </w:tcPr>
          <w:p w14:paraId="42860224"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&gt;65</w:t>
            </w:r>
          </w:p>
        </w:tc>
        <w:tc>
          <w:tcPr>
            <w:tcW w:w="870" w:type="dxa"/>
            <w:shd w:val="clear" w:color="auto" w:fill="auto"/>
            <w:vAlign w:val="center"/>
          </w:tcPr>
          <w:p w14:paraId="2A0CEAD5"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20</w:t>
            </w:r>
          </w:p>
        </w:tc>
        <w:tc>
          <w:tcPr>
            <w:tcW w:w="870" w:type="dxa"/>
            <w:shd w:val="clear" w:color="auto" w:fill="auto"/>
            <w:vAlign w:val="center"/>
          </w:tcPr>
          <w:p w14:paraId="4C99B95B"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4068B8F1"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0C8BCA13"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69D3EA2E"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01CBD828"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93</w:t>
            </w:r>
          </w:p>
        </w:tc>
        <w:tc>
          <w:tcPr>
            <w:tcW w:w="870" w:type="dxa"/>
            <w:shd w:val="clear" w:color="auto" w:fill="auto"/>
            <w:vAlign w:val="center"/>
          </w:tcPr>
          <w:p w14:paraId="04302A29"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46CE2024"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20</w:t>
            </w:r>
          </w:p>
        </w:tc>
        <w:tc>
          <w:tcPr>
            <w:tcW w:w="870" w:type="dxa"/>
            <w:shd w:val="clear" w:color="auto" w:fill="auto"/>
            <w:vAlign w:val="center"/>
          </w:tcPr>
          <w:p w14:paraId="6CB3ED37"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25</w:t>
            </w:r>
          </w:p>
        </w:tc>
      </w:tr>
      <w:tr w:rsidR="00696FD0" w:rsidRPr="00384351" w14:paraId="47CA70C2" w14:textId="77777777" w:rsidTr="00696FD0">
        <w:tc>
          <w:tcPr>
            <w:tcW w:w="1800" w:type="dxa"/>
            <w:shd w:val="clear" w:color="auto" w:fill="auto"/>
            <w:vAlign w:val="center"/>
          </w:tcPr>
          <w:p w14:paraId="1BB63264" w14:textId="77777777" w:rsidR="00696FD0" w:rsidRPr="005E237E" w:rsidRDefault="00696FD0" w:rsidP="00696FD0">
            <w:pPr>
              <w:autoSpaceDE w:val="0"/>
              <w:autoSpaceDN w:val="0"/>
              <w:adjustRightInd w:val="0"/>
              <w:rPr>
                <w:b/>
                <w:bCs/>
                <w:color w:val="000000" w:themeColor="text1"/>
                <w:sz w:val="20"/>
                <w:szCs w:val="20"/>
              </w:rPr>
            </w:pPr>
            <w:r w:rsidRPr="1B319BFB">
              <w:rPr>
                <w:rFonts w:eastAsia="Calibri" w:cs="Calibri"/>
                <w:b/>
                <w:bCs/>
                <w:color w:val="000000" w:themeColor="text1"/>
                <w:kern w:val="24"/>
                <w:sz w:val="20"/>
                <w:szCs w:val="20"/>
              </w:rPr>
              <w:t>Male</w:t>
            </w:r>
          </w:p>
        </w:tc>
        <w:tc>
          <w:tcPr>
            <w:tcW w:w="870" w:type="dxa"/>
            <w:shd w:val="clear" w:color="auto" w:fill="auto"/>
            <w:vAlign w:val="center"/>
          </w:tcPr>
          <w:p w14:paraId="37B7F30E"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50</w:t>
            </w:r>
          </w:p>
        </w:tc>
        <w:tc>
          <w:tcPr>
            <w:tcW w:w="870" w:type="dxa"/>
            <w:shd w:val="clear" w:color="auto" w:fill="auto"/>
            <w:vAlign w:val="center"/>
          </w:tcPr>
          <w:p w14:paraId="26F439ED"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59</w:t>
            </w:r>
          </w:p>
        </w:tc>
        <w:tc>
          <w:tcPr>
            <w:tcW w:w="870" w:type="dxa"/>
            <w:shd w:val="clear" w:color="auto" w:fill="auto"/>
            <w:vAlign w:val="center"/>
          </w:tcPr>
          <w:p w14:paraId="025F0AC6"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r w:rsidRPr="1B319BFB">
              <w:rPr>
                <w:rFonts w:eastAsia="Calibri" w:cs="Calibri"/>
                <w:color w:val="000000" w:themeColor="text1"/>
                <w:kern w:val="24"/>
                <w:sz w:val="20"/>
                <w:szCs w:val="20"/>
                <w:lang w:eastAsia="zh-CN"/>
              </w:rPr>
              <w:t>5</w:t>
            </w:r>
          </w:p>
        </w:tc>
        <w:tc>
          <w:tcPr>
            <w:tcW w:w="870" w:type="dxa"/>
            <w:shd w:val="clear" w:color="auto" w:fill="auto"/>
            <w:vAlign w:val="center"/>
          </w:tcPr>
          <w:p w14:paraId="132D00F5"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43</w:t>
            </w:r>
          </w:p>
        </w:tc>
        <w:tc>
          <w:tcPr>
            <w:tcW w:w="870" w:type="dxa"/>
            <w:shd w:val="clear" w:color="auto" w:fill="auto"/>
            <w:vAlign w:val="center"/>
          </w:tcPr>
          <w:p w14:paraId="408A853B"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55</w:t>
            </w:r>
          </w:p>
        </w:tc>
        <w:tc>
          <w:tcPr>
            <w:tcW w:w="870" w:type="dxa"/>
            <w:shd w:val="clear" w:color="auto" w:fill="auto"/>
            <w:vAlign w:val="center"/>
          </w:tcPr>
          <w:p w14:paraId="1D260B31"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44</w:t>
            </w:r>
          </w:p>
        </w:tc>
        <w:tc>
          <w:tcPr>
            <w:tcW w:w="870" w:type="dxa"/>
            <w:shd w:val="clear" w:color="auto" w:fill="auto"/>
            <w:vAlign w:val="center"/>
          </w:tcPr>
          <w:p w14:paraId="578819B6"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w:t>
            </w:r>
            <w:r w:rsidRPr="1B319BFB">
              <w:rPr>
                <w:rFonts w:eastAsia="Calibri" w:cs="Calibri"/>
                <w:color w:val="000000" w:themeColor="text1"/>
                <w:kern w:val="24"/>
                <w:sz w:val="20"/>
                <w:szCs w:val="20"/>
                <w:lang w:eastAsia="zh-CN"/>
              </w:rPr>
              <w:t>8</w:t>
            </w:r>
          </w:p>
        </w:tc>
        <w:tc>
          <w:tcPr>
            <w:tcW w:w="870" w:type="dxa"/>
            <w:shd w:val="clear" w:color="auto" w:fill="auto"/>
            <w:vAlign w:val="center"/>
          </w:tcPr>
          <w:p w14:paraId="1B4F3CD4"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r w:rsidRPr="1B319BFB">
              <w:rPr>
                <w:rFonts w:eastAsia="Calibri" w:cs="Calibri"/>
                <w:color w:val="000000" w:themeColor="text1"/>
                <w:kern w:val="24"/>
                <w:sz w:val="20"/>
                <w:szCs w:val="20"/>
                <w:lang w:eastAsia="zh-CN"/>
              </w:rPr>
              <w:t>1</w:t>
            </w:r>
          </w:p>
        </w:tc>
        <w:tc>
          <w:tcPr>
            <w:tcW w:w="870" w:type="dxa"/>
            <w:shd w:val="clear" w:color="auto" w:fill="auto"/>
            <w:vAlign w:val="center"/>
          </w:tcPr>
          <w:p w14:paraId="49DD3F19" w14:textId="77777777" w:rsidR="00696FD0" w:rsidRPr="005E237E"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44</w:t>
            </w:r>
          </w:p>
        </w:tc>
      </w:tr>
    </w:tbl>
    <w:p w14:paraId="4C03BFEA" w14:textId="77777777" w:rsidR="007B24C4" w:rsidRPr="009311A7" w:rsidRDefault="007B24C4" w:rsidP="00D45DD7">
      <w:bookmarkStart w:id="20" w:name="_Ref478135600"/>
      <w:bookmarkStart w:id="21" w:name="_Toc478140186"/>
      <w:bookmarkStart w:id="22" w:name="_Toc485898267"/>
      <w:bookmarkStart w:id="23" w:name="_Toc486419628"/>
      <w:bookmarkStart w:id="24" w:name="_Toc487097900"/>
      <w:bookmarkStart w:id="25" w:name="_Toc487104011"/>
      <w:bookmarkStart w:id="26" w:name="_Toc487793024"/>
      <w:bookmarkStart w:id="27" w:name="_Toc490226702"/>
    </w:p>
    <w:p w14:paraId="3C5491AD" w14:textId="0B8D8971" w:rsidR="00696FD0" w:rsidRPr="00D41EE1" w:rsidRDefault="00696FD0" w:rsidP="00775E17">
      <w:pPr>
        <w:pStyle w:val="Caption"/>
      </w:pPr>
      <w:r>
        <w:lastRenderedPageBreak/>
        <w:t xml:space="preserve">Table </w:t>
      </w:r>
      <w:bookmarkEnd w:id="20"/>
      <w:r>
        <w:t>1.6-B</w:t>
      </w:r>
      <w:r w:rsidRPr="002B3F5D">
        <w:t xml:space="preserve"> </w:t>
      </w:r>
      <w:r w:rsidRPr="00D41EE1">
        <w:t>Race/Ethnicity of Field Testing Population (in percent)</w:t>
      </w:r>
      <w:bookmarkEnd w:id="21"/>
      <w:bookmarkEnd w:id="22"/>
      <w:bookmarkEnd w:id="23"/>
      <w:bookmarkEnd w:id="24"/>
      <w:bookmarkEnd w:id="25"/>
      <w:bookmarkEnd w:id="26"/>
      <w:bookmarkEnd w:id="27"/>
    </w:p>
    <w:tbl>
      <w:tblPr>
        <w:tblStyle w:val="TableGrid"/>
        <w:tblW w:w="9630" w:type="dxa"/>
        <w:tblInd w:w="-5" w:type="dxa"/>
        <w:tblLook w:val="04A0" w:firstRow="1" w:lastRow="0" w:firstColumn="1" w:lastColumn="0" w:noHBand="0" w:noVBand="1"/>
      </w:tblPr>
      <w:tblGrid>
        <w:gridCol w:w="1800"/>
        <w:gridCol w:w="870"/>
        <w:gridCol w:w="870"/>
        <w:gridCol w:w="870"/>
        <w:gridCol w:w="870"/>
        <w:gridCol w:w="870"/>
        <w:gridCol w:w="870"/>
        <w:gridCol w:w="870"/>
        <w:gridCol w:w="870"/>
        <w:gridCol w:w="870"/>
      </w:tblGrid>
      <w:tr w:rsidR="00696FD0" w:rsidRPr="00696FD0" w14:paraId="188EB169" w14:textId="77777777" w:rsidTr="00696FD0">
        <w:trPr>
          <w:tblHeader/>
        </w:trPr>
        <w:tc>
          <w:tcPr>
            <w:tcW w:w="1800" w:type="dxa"/>
            <w:shd w:val="clear" w:color="auto" w:fill="365F91" w:themeFill="accent1" w:themeFillShade="BF"/>
            <w:vAlign w:val="center"/>
          </w:tcPr>
          <w:p w14:paraId="13657377" w14:textId="77777777" w:rsidR="00696FD0" w:rsidRPr="00696FD0" w:rsidRDefault="00696FD0" w:rsidP="00696FD0">
            <w:pPr>
              <w:autoSpaceDE w:val="0"/>
              <w:autoSpaceDN w:val="0"/>
              <w:adjustRightInd w:val="0"/>
              <w:rPr>
                <w:b/>
                <w:color w:val="FFFFFF" w:themeColor="background1"/>
                <w:sz w:val="20"/>
                <w:szCs w:val="20"/>
              </w:rPr>
            </w:pPr>
          </w:p>
        </w:tc>
        <w:tc>
          <w:tcPr>
            <w:tcW w:w="870" w:type="dxa"/>
            <w:shd w:val="clear" w:color="auto" w:fill="365F91" w:themeFill="accent1" w:themeFillShade="BF"/>
            <w:vAlign w:val="center"/>
          </w:tcPr>
          <w:p w14:paraId="360B5900"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1</w:t>
            </w:r>
          </w:p>
        </w:tc>
        <w:tc>
          <w:tcPr>
            <w:tcW w:w="870" w:type="dxa"/>
            <w:shd w:val="clear" w:color="auto" w:fill="365F91" w:themeFill="accent1" w:themeFillShade="BF"/>
            <w:vAlign w:val="center"/>
          </w:tcPr>
          <w:p w14:paraId="6C621463"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2</w:t>
            </w:r>
          </w:p>
        </w:tc>
        <w:tc>
          <w:tcPr>
            <w:tcW w:w="870" w:type="dxa"/>
            <w:shd w:val="clear" w:color="auto" w:fill="365F91" w:themeFill="accent1" w:themeFillShade="BF"/>
            <w:vAlign w:val="center"/>
          </w:tcPr>
          <w:p w14:paraId="09B50D6F"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3</w:t>
            </w:r>
          </w:p>
        </w:tc>
        <w:tc>
          <w:tcPr>
            <w:tcW w:w="870" w:type="dxa"/>
            <w:shd w:val="clear" w:color="auto" w:fill="365F91" w:themeFill="accent1" w:themeFillShade="BF"/>
            <w:vAlign w:val="center"/>
          </w:tcPr>
          <w:p w14:paraId="01D10B5B"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4</w:t>
            </w:r>
          </w:p>
        </w:tc>
        <w:tc>
          <w:tcPr>
            <w:tcW w:w="870" w:type="dxa"/>
            <w:shd w:val="clear" w:color="auto" w:fill="365F91" w:themeFill="accent1" w:themeFillShade="BF"/>
            <w:vAlign w:val="center"/>
          </w:tcPr>
          <w:p w14:paraId="4BAD6618"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5</w:t>
            </w:r>
          </w:p>
        </w:tc>
        <w:tc>
          <w:tcPr>
            <w:tcW w:w="870" w:type="dxa"/>
            <w:shd w:val="clear" w:color="auto" w:fill="365F91" w:themeFill="accent1" w:themeFillShade="BF"/>
            <w:vAlign w:val="center"/>
          </w:tcPr>
          <w:p w14:paraId="56327DDD"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6</w:t>
            </w:r>
          </w:p>
        </w:tc>
        <w:tc>
          <w:tcPr>
            <w:tcW w:w="870" w:type="dxa"/>
            <w:shd w:val="clear" w:color="auto" w:fill="365F91" w:themeFill="accent1" w:themeFillShade="BF"/>
            <w:vAlign w:val="center"/>
          </w:tcPr>
          <w:p w14:paraId="6A135B47"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7</w:t>
            </w:r>
          </w:p>
        </w:tc>
        <w:tc>
          <w:tcPr>
            <w:tcW w:w="870" w:type="dxa"/>
            <w:shd w:val="clear" w:color="auto" w:fill="365F91" w:themeFill="accent1" w:themeFillShade="BF"/>
            <w:vAlign w:val="center"/>
          </w:tcPr>
          <w:p w14:paraId="03A1A463"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8</w:t>
            </w:r>
          </w:p>
        </w:tc>
        <w:tc>
          <w:tcPr>
            <w:tcW w:w="870" w:type="dxa"/>
            <w:shd w:val="clear" w:color="auto" w:fill="365F91" w:themeFill="accent1" w:themeFillShade="BF"/>
            <w:vAlign w:val="center"/>
          </w:tcPr>
          <w:p w14:paraId="6B2C2B86" w14:textId="77777777" w:rsidR="00696FD0" w:rsidRPr="00696FD0" w:rsidRDefault="00696FD0" w:rsidP="00696FD0">
            <w:pPr>
              <w:autoSpaceDE w:val="0"/>
              <w:autoSpaceDN w:val="0"/>
              <w:adjustRightInd w:val="0"/>
              <w:jc w:val="center"/>
              <w:rPr>
                <w:b/>
                <w:color w:val="FFFFFF" w:themeColor="background1"/>
                <w:sz w:val="20"/>
                <w:szCs w:val="20"/>
              </w:rPr>
            </w:pPr>
            <w:r w:rsidRPr="00696FD0">
              <w:rPr>
                <w:rFonts w:eastAsia="Calibri" w:cs="Calibri"/>
                <w:b/>
                <w:color w:val="FFFFFF" w:themeColor="background1"/>
                <w:kern w:val="24"/>
                <w:sz w:val="20"/>
                <w:szCs w:val="20"/>
              </w:rPr>
              <w:t>IPF 9</w:t>
            </w:r>
          </w:p>
        </w:tc>
      </w:tr>
      <w:tr w:rsidR="00696FD0" w:rsidRPr="00384351" w14:paraId="2D316FB5" w14:textId="77777777" w:rsidTr="00696FD0">
        <w:tc>
          <w:tcPr>
            <w:tcW w:w="1800" w:type="dxa"/>
            <w:shd w:val="clear" w:color="auto" w:fill="auto"/>
            <w:vAlign w:val="center"/>
          </w:tcPr>
          <w:p w14:paraId="3538DB31"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White</w:t>
            </w:r>
          </w:p>
        </w:tc>
        <w:tc>
          <w:tcPr>
            <w:tcW w:w="870" w:type="dxa"/>
            <w:shd w:val="clear" w:color="auto" w:fill="auto"/>
            <w:vAlign w:val="center"/>
          </w:tcPr>
          <w:p w14:paraId="613DBCAB"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9</w:t>
            </w:r>
            <w:r w:rsidRPr="1B319BFB">
              <w:rPr>
                <w:rFonts w:eastAsia="Calibri" w:cs="Calibri"/>
                <w:color w:val="000000" w:themeColor="text1"/>
                <w:kern w:val="24"/>
                <w:sz w:val="20"/>
                <w:szCs w:val="20"/>
                <w:lang w:eastAsia="zh-CN"/>
              </w:rPr>
              <w:t>6</w:t>
            </w:r>
          </w:p>
        </w:tc>
        <w:tc>
          <w:tcPr>
            <w:tcW w:w="870" w:type="dxa"/>
            <w:shd w:val="clear" w:color="auto" w:fill="auto"/>
            <w:vAlign w:val="center"/>
          </w:tcPr>
          <w:p w14:paraId="187BCC1B"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72</w:t>
            </w:r>
          </w:p>
        </w:tc>
        <w:tc>
          <w:tcPr>
            <w:tcW w:w="870" w:type="dxa"/>
            <w:shd w:val="clear" w:color="auto" w:fill="auto"/>
            <w:vAlign w:val="center"/>
          </w:tcPr>
          <w:p w14:paraId="6051F56F"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89</w:t>
            </w:r>
          </w:p>
        </w:tc>
        <w:tc>
          <w:tcPr>
            <w:tcW w:w="870" w:type="dxa"/>
            <w:shd w:val="clear" w:color="auto" w:fill="auto"/>
            <w:vAlign w:val="center"/>
          </w:tcPr>
          <w:p w14:paraId="4341840F"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89</w:t>
            </w:r>
          </w:p>
        </w:tc>
        <w:tc>
          <w:tcPr>
            <w:tcW w:w="870" w:type="dxa"/>
            <w:shd w:val="clear" w:color="auto" w:fill="auto"/>
            <w:vAlign w:val="center"/>
          </w:tcPr>
          <w:p w14:paraId="4373FA0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60</w:t>
            </w:r>
          </w:p>
        </w:tc>
        <w:tc>
          <w:tcPr>
            <w:tcW w:w="870" w:type="dxa"/>
            <w:shd w:val="clear" w:color="auto" w:fill="auto"/>
            <w:vAlign w:val="center"/>
          </w:tcPr>
          <w:p w14:paraId="534BE2CA"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87</w:t>
            </w:r>
          </w:p>
        </w:tc>
        <w:tc>
          <w:tcPr>
            <w:tcW w:w="870" w:type="dxa"/>
            <w:shd w:val="clear" w:color="auto" w:fill="auto"/>
            <w:vAlign w:val="center"/>
          </w:tcPr>
          <w:p w14:paraId="2148501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40</w:t>
            </w:r>
          </w:p>
        </w:tc>
        <w:tc>
          <w:tcPr>
            <w:tcW w:w="870" w:type="dxa"/>
            <w:shd w:val="clear" w:color="auto" w:fill="auto"/>
            <w:vAlign w:val="center"/>
          </w:tcPr>
          <w:p w14:paraId="6E34C9EF"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93</w:t>
            </w:r>
          </w:p>
        </w:tc>
        <w:tc>
          <w:tcPr>
            <w:tcW w:w="870" w:type="dxa"/>
            <w:shd w:val="clear" w:color="auto" w:fill="auto"/>
            <w:vAlign w:val="center"/>
          </w:tcPr>
          <w:p w14:paraId="7A33B84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71</w:t>
            </w:r>
          </w:p>
        </w:tc>
      </w:tr>
      <w:tr w:rsidR="00696FD0" w:rsidRPr="00384351" w14:paraId="16A5FD2F" w14:textId="77777777" w:rsidTr="00696FD0">
        <w:tc>
          <w:tcPr>
            <w:tcW w:w="1800" w:type="dxa"/>
            <w:shd w:val="clear" w:color="auto" w:fill="auto"/>
            <w:vAlign w:val="center"/>
          </w:tcPr>
          <w:p w14:paraId="5C974C97"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Black</w:t>
            </w:r>
          </w:p>
        </w:tc>
        <w:tc>
          <w:tcPr>
            <w:tcW w:w="870" w:type="dxa"/>
            <w:shd w:val="clear" w:color="auto" w:fill="auto"/>
            <w:vAlign w:val="center"/>
          </w:tcPr>
          <w:p w14:paraId="336234E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5993E83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7</w:t>
            </w:r>
          </w:p>
        </w:tc>
        <w:tc>
          <w:tcPr>
            <w:tcW w:w="870" w:type="dxa"/>
            <w:shd w:val="clear" w:color="auto" w:fill="auto"/>
            <w:vAlign w:val="center"/>
          </w:tcPr>
          <w:p w14:paraId="1A407A92"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5</w:t>
            </w:r>
          </w:p>
        </w:tc>
        <w:tc>
          <w:tcPr>
            <w:tcW w:w="870" w:type="dxa"/>
            <w:shd w:val="clear" w:color="auto" w:fill="auto"/>
            <w:vAlign w:val="center"/>
          </w:tcPr>
          <w:p w14:paraId="36AAFECB"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w:t>
            </w:r>
          </w:p>
        </w:tc>
        <w:tc>
          <w:tcPr>
            <w:tcW w:w="870" w:type="dxa"/>
            <w:shd w:val="clear" w:color="auto" w:fill="auto"/>
            <w:vAlign w:val="center"/>
          </w:tcPr>
          <w:p w14:paraId="58FD7DB9"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31</w:t>
            </w:r>
          </w:p>
        </w:tc>
        <w:tc>
          <w:tcPr>
            <w:tcW w:w="870" w:type="dxa"/>
            <w:shd w:val="clear" w:color="auto" w:fill="auto"/>
            <w:vAlign w:val="center"/>
          </w:tcPr>
          <w:p w14:paraId="0FCD031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46FC5DE0"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57</w:t>
            </w:r>
          </w:p>
        </w:tc>
        <w:tc>
          <w:tcPr>
            <w:tcW w:w="870" w:type="dxa"/>
            <w:shd w:val="clear" w:color="auto" w:fill="auto"/>
            <w:vAlign w:val="center"/>
          </w:tcPr>
          <w:p w14:paraId="5AAA300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4E00FAE5"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22</w:t>
            </w:r>
          </w:p>
        </w:tc>
      </w:tr>
      <w:tr w:rsidR="00696FD0" w:rsidRPr="00384351" w14:paraId="1ED7196F" w14:textId="77777777" w:rsidTr="00696FD0">
        <w:trPr>
          <w:trHeight w:val="539"/>
        </w:trPr>
        <w:tc>
          <w:tcPr>
            <w:tcW w:w="1800" w:type="dxa"/>
            <w:shd w:val="clear" w:color="auto" w:fill="auto"/>
            <w:vAlign w:val="center"/>
          </w:tcPr>
          <w:p w14:paraId="78EEAD51" w14:textId="77777777" w:rsidR="00696FD0" w:rsidRPr="00242DD3" w:rsidRDefault="00696FD0" w:rsidP="00696FD0">
            <w:pPr>
              <w:pStyle w:val="NormalWeb"/>
              <w:spacing w:before="0" w:beforeAutospacing="0" w:after="0" w:afterAutospacing="0"/>
              <w:rPr>
                <w:rFonts w:asciiTheme="minorHAnsi" w:eastAsiaTheme="minorEastAsia" w:hAnsiTheme="minorHAnsi" w:cstheme="minorBidi"/>
                <w:color w:val="000000" w:themeColor="text1"/>
                <w:sz w:val="20"/>
                <w:szCs w:val="20"/>
              </w:rPr>
            </w:pPr>
            <w:r w:rsidRPr="1B319BFB">
              <w:rPr>
                <w:rFonts w:asciiTheme="minorHAnsi" w:eastAsiaTheme="minorEastAsia" w:hAnsiTheme="minorHAnsi" w:cstheme="minorBidi"/>
                <w:b/>
                <w:bCs/>
                <w:color w:val="000000" w:themeColor="text1"/>
                <w:kern w:val="24"/>
                <w:sz w:val="20"/>
                <w:szCs w:val="20"/>
              </w:rPr>
              <w:t xml:space="preserve">Asian/ </w:t>
            </w:r>
          </w:p>
          <w:p w14:paraId="777BF3EF"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Pacific Islander</w:t>
            </w:r>
          </w:p>
        </w:tc>
        <w:tc>
          <w:tcPr>
            <w:tcW w:w="870" w:type="dxa"/>
            <w:shd w:val="clear" w:color="auto" w:fill="auto"/>
            <w:vAlign w:val="center"/>
          </w:tcPr>
          <w:p w14:paraId="694A0D3C"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58EAA8E9"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D5EE4FC"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7C83786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5AAFE87B"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29768C5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w:t>
            </w:r>
          </w:p>
        </w:tc>
        <w:tc>
          <w:tcPr>
            <w:tcW w:w="870" w:type="dxa"/>
            <w:shd w:val="clear" w:color="auto" w:fill="auto"/>
            <w:vAlign w:val="center"/>
          </w:tcPr>
          <w:p w14:paraId="43F23D9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F31CA35"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742732DC"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r>
      <w:tr w:rsidR="00696FD0" w:rsidRPr="00384351" w14:paraId="0BE457D9" w14:textId="77777777" w:rsidTr="00696FD0">
        <w:tc>
          <w:tcPr>
            <w:tcW w:w="1800" w:type="dxa"/>
            <w:shd w:val="clear" w:color="auto" w:fill="auto"/>
            <w:vAlign w:val="center"/>
          </w:tcPr>
          <w:p w14:paraId="3CF78660" w14:textId="77777777" w:rsidR="00696FD0" w:rsidRPr="00242DD3" w:rsidRDefault="00696FD0" w:rsidP="00696FD0">
            <w:pPr>
              <w:pStyle w:val="NormalWeb"/>
              <w:spacing w:before="0" w:beforeAutospacing="0" w:after="0" w:afterAutospacing="0"/>
              <w:rPr>
                <w:rFonts w:asciiTheme="minorHAnsi" w:eastAsiaTheme="minorEastAsia" w:hAnsiTheme="minorHAnsi" w:cstheme="minorBidi"/>
                <w:color w:val="000000" w:themeColor="text1"/>
                <w:sz w:val="20"/>
                <w:szCs w:val="20"/>
              </w:rPr>
            </w:pPr>
            <w:r w:rsidRPr="1B319BFB">
              <w:rPr>
                <w:rFonts w:asciiTheme="minorHAnsi" w:eastAsiaTheme="minorEastAsia" w:hAnsiTheme="minorHAnsi" w:cstheme="minorBidi"/>
                <w:b/>
                <w:bCs/>
                <w:color w:val="000000" w:themeColor="text1"/>
                <w:kern w:val="24"/>
                <w:sz w:val="20"/>
                <w:szCs w:val="20"/>
              </w:rPr>
              <w:t>American Indian/</w:t>
            </w:r>
          </w:p>
          <w:p w14:paraId="7EEADC8D"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Alaska Native</w:t>
            </w:r>
          </w:p>
        </w:tc>
        <w:tc>
          <w:tcPr>
            <w:tcW w:w="870" w:type="dxa"/>
            <w:shd w:val="clear" w:color="auto" w:fill="auto"/>
            <w:vAlign w:val="center"/>
          </w:tcPr>
          <w:p w14:paraId="131BF899"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31CC44C" w14:textId="77777777" w:rsidR="00696FD0" w:rsidRPr="00242DD3" w:rsidRDefault="00696FD0" w:rsidP="00696FD0">
            <w:pPr>
              <w:autoSpaceDE w:val="0"/>
              <w:autoSpaceDN w:val="0"/>
              <w:adjustRightInd w:val="0"/>
              <w:jc w:val="center"/>
              <w:rPr>
                <w:rFonts w:eastAsia="Calibri" w:cs="Calibri"/>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71A372B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5</w:t>
            </w:r>
          </w:p>
        </w:tc>
        <w:tc>
          <w:tcPr>
            <w:tcW w:w="870" w:type="dxa"/>
            <w:shd w:val="clear" w:color="auto" w:fill="auto"/>
            <w:vAlign w:val="center"/>
          </w:tcPr>
          <w:p w14:paraId="2674F841"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w:t>
            </w:r>
          </w:p>
        </w:tc>
        <w:tc>
          <w:tcPr>
            <w:tcW w:w="870" w:type="dxa"/>
            <w:shd w:val="clear" w:color="auto" w:fill="auto"/>
            <w:vAlign w:val="center"/>
          </w:tcPr>
          <w:p w14:paraId="70648F61"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5CDD7E2A"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383DE9E6"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A42F1D3"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543FA41"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r>
      <w:tr w:rsidR="00696FD0" w:rsidRPr="00384351" w14:paraId="78644A76" w14:textId="77777777" w:rsidTr="00696FD0">
        <w:tc>
          <w:tcPr>
            <w:tcW w:w="1800" w:type="dxa"/>
            <w:shd w:val="clear" w:color="auto" w:fill="auto"/>
            <w:vAlign w:val="center"/>
          </w:tcPr>
          <w:p w14:paraId="520AD734"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Other</w:t>
            </w:r>
          </w:p>
        </w:tc>
        <w:tc>
          <w:tcPr>
            <w:tcW w:w="870" w:type="dxa"/>
            <w:shd w:val="clear" w:color="auto" w:fill="auto"/>
            <w:vAlign w:val="center"/>
          </w:tcPr>
          <w:p w14:paraId="04EEC8A6"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1</w:t>
            </w:r>
          </w:p>
        </w:tc>
        <w:tc>
          <w:tcPr>
            <w:tcW w:w="870" w:type="dxa"/>
            <w:shd w:val="clear" w:color="auto" w:fill="auto"/>
            <w:vAlign w:val="center"/>
          </w:tcPr>
          <w:p w14:paraId="57944B3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6F165EAF"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483B5A62"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2807305A"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36D6C2D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67FE6DC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26C64EC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20C9CA5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r>
      <w:tr w:rsidR="00696FD0" w:rsidRPr="00384351" w14:paraId="386D4003" w14:textId="77777777" w:rsidTr="00696FD0">
        <w:tc>
          <w:tcPr>
            <w:tcW w:w="1800" w:type="dxa"/>
            <w:shd w:val="clear" w:color="auto" w:fill="auto"/>
            <w:vAlign w:val="center"/>
          </w:tcPr>
          <w:p w14:paraId="3A898F6C" w14:textId="77777777" w:rsidR="00696FD0" w:rsidRPr="00242DD3" w:rsidRDefault="00696FD0" w:rsidP="00696FD0">
            <w:pPr>
              <w:pStyle w:val="NormalWeb"/>
              <w:spacing w:before="0" w:beforeAutospacing="0" w:after="0" w:afterAutospacing="0"/>
              <w:rPr>
                <w:rFonts w:asciiTheme="minorHAnsi" w:eastAsiaTheme="minorEastAsia" w:hAnsiTheme="minorHAnsi" w:cstheme="minorBidi"/>
                <w:color w:val="000000" w:themeColor="text1"/>
                <w:sz w:val="20"/>
                <w:szCs w:val="20"/>
              </w:rPr>
            </w:pPr>
            <w:r w:rsidRPr="1B319BFB">
              <w:rPr>
                <w:rFonts w:asciiTheme="minorHAnsi" w:eastAsiaTheme="minorEastAsia" w:hAnsiTheme="minorHAnsi" w:cstheme="minorBidi"/>
                <w:b/>
                <w:bCs/>
                <w:color w:val="000000" w:themeColor="text1"/>
                <w:kern w:val="24"/>
                <w:sz w:val="20"/>
                <w:szCs w:val="20"/>
              </w:rPr>
              <w:t xml:space="preserve">Unknown </w:t>
            </w:r>
            <w:r w:rsidRPr="1B319BFB">
              <w:rPr>
                <w:rFonts w:asciiTheme="minorHAnsi" w:eastAsia="Calibri" w:hAnsiTheme="minorHAnsi" w:cs="Calibri"/>
                <w:b/>
                <w:bCs/>
                <w:color w:val="000000" w:themeColor="text1"/>
                <w:kern w:val="24"/>
                <w:sz w:val="20"/>
                <w:szCs w:val="20"/>
              </w:rPr>
              <w:t>Race</w:t>
            </w:r>
          </w:p>
        </w:tc>
        <w:tc>
          <w:tcPr>
            <w:tcW w:w="870" w:type="dxa"/>
            <w:shd w:val="clear" w:color="auto" w:fill="auto"/>
            <w:vAlign w:val="center"/>
          </w:tcPr>
          <w:p w14:paraId="4A4FF421"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7855844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18</w:t>
            </w:r>
          </w:p>
        </w:tc>
        <w:tc>
          <w:tcPr>
            <w:tcW w:w="870" w:type="dxa"/>
            <w:shd w:val="clear" w:color="auto" w:fill="auto"/>
            <w:vAlign w:val="center"/>
          </w:tcPr>
          <w:p w14:paraId="03C0A663"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10BBCA8E"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0F5671F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025EFC6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1105D5EF"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27ECF57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489287B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w:t>
            </w:r>
          </w:p>
        </w:tc>
      </w:tr>
      <w:tr w:rsidR="00696FD0" w:rsidRPr="00384351" w14:paraId="5A5169E9" w14:textId="77777777" w:rsidTr="00696FD0">
        <w:tc>
          <w:tcPr>
            <w:tcW w:w="1800" w:type="dxa"/>
            <w:shd w:val="clear" w:color="auto" w:fill="auto"/>
            <w:vAlign w:val="center"/>
          </w:tcPr>
          <w:p w14:paraId="523D8656"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Hispanic</w:t>
            </w:r>
          </w:p>
        </w:tc>
        <w:tc>
          <w:tcPr>
            <w:tcW w:w="870" w:type="dxa"/>
            <w:shd w:val="clear" w:color="auto" w:fill="auto"/>
            <w:vAlign w:val="center"/>
          </w:tcPr>
          <w:p w14:paraId="1D57638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1</w:t>
            </w:r>
          </w:p>
        </w:tc>
        <w:tc>
          <w:tcPr>
            <w:tcW w:w="870" w:type="dxa"/>
            <w:shd w:val="clear" w:color="auto" w:fill="auto"/>
            <w:vAlign w:val="center"/>
          </w:tcPr>
          <w:p w14:paraId="3C91835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35695A6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19</w:t>
            </w:r>
          </w:p>
        </w:tc>
        <w:tc>
          <w:tcPr>
            <w:tcW w:w="870" w:type="dxa"/>
            <w:shd w:val="clear" w:color="auto" w:fill="auto"/>
            <w:vAlign w:val="center"/>
          </w:tcPr>
          <w:p w14:paraId="25BE1688"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24</w:t>
            </w:r>
          </w:p>
        </w:tc>
        <w:tc>
          <w:tcPr>
            <w:tcW w:w="870" w:type="dxa"/>
            <w:shd w:val="clear" w:color="auto" w:fill="auto"/>
            <w:vAlign w:val="center"/>
          </w:tcPr>
          <w:p w14:paraId="0873359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46DB1DE5"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2</w:t>
            </w:r>
          </w:p>
        </w:tc>
        <w:tc>
          <w:tcPr>
            <w:tcW w:w="870" w:type="dxa"/>
            <w:shd w:val="clear" w:color="auto" w:fill="auto"/>
            <w:vAlign w:val="center"/>
          </w:tcPr>
          <w:p w14:paraId="5F16BDB2"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3</w:t>
            </w:r>
          </w:p>
        </w:tc>
        <w:tc>
          <w:tcPr>
            <w:tcW w:w="870" w:type="dxa"/>
            <w:shd w:val="clear" w:color="auto" w:fill="auto"/>
            <w:vAlign w:val="center"/>
          </w:tcPr>
          <w:p w14:paraId="067837E6"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lang w:eastAsia="zh-CN"/>
              </w:rPr>
              <w:t>7</w:t>
            </w:r>
          </w:p>
        </w:tc>
        <w:tc>
          <w:tcPr>
            <w:tcW w:w="870" w:type="dxa"/>
            <w:shd w:val="clear" w:color="auto" w:fill="auto"/>
            <w:vAlign w:val="center"/>
          </w:tcPr>
          <w:p w14:paraId="4D052B0D"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6</w:t>
            </w:r>
          </w:p>
        </w:tc>
      </w:tr>
      <w:tr w:rsidR="00696FD0" w:rsidRPr="00384351" w14:paraId="7C59436A" w14:textId="77777777" w:rsidTr="00696FD0">
        <w:tc>
          <w:tcPr>
            <w:tcW w:w="1800" w:type="dxa"/>
            <w:shd w:val="clear" w:color="auto" w:fill="auto"/>
            <w:vAlign w:val="center"/>
          </w:tcPr>
          <w:p w14:paraId="005907D5" w14:textId="77777777" w:rsidR="00696FD0" w:rsidRPr="00242DD3" w:rsidRDefault="00696FD0" w:rsidP="00696FD0">
            <w:pPr>
              <w:autoSpaceDE w:val="0"/>
              <w:autoSpaceDN w:val="0"/>
              <w:adjustRightInd w:val="0"/>
              <w:rPr>
                <w:color w:val="000000" w:themeColor="text1"/>
                <w:sz w:val="20"/>
                <w:szCs w:val="20"/>
              </w:rPr>
            </w:pPr>
            <w:r w:rsidRPr="1B319BFB">
              <w:rPr>
                <w:rFonts w:eastAsia="Calibri" w:cs="Calibri"/>
                <w:b/>
                <w:bCs/>
                <w:color w:val="000000" w:themeColor="text1"/>
                <w:kern w:val="24"/>
                <w:sz w:val="20"/>
                <w:szCs w:val="20"/>
              </w:rPr>
              <w:t>Unknown Ethnicity</w:t>
            </w:r>
          </w:p>
        </w:tc>
        <w:tc>
          <w:tcPr>
            <w:tcW w:w="870" w:type="dxa"/>
            <w:shd w:val="clear" w:color="auto" w:fill="auto"/>
            <w:vAlign w:val="center"/>
          </w:tcPr>
          <w:p w14:paraId="728E375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54EDF0F4"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19</w:t>
            </w:r>
          </w:p>
        </w:tc>
        <w:tc>
          <w:tcPr>
            <w:tcW w:w="870" w:type="dxa"/>
            <w:shd w:val="clear" w:color="auto" w:fill="auto"/>
            <w:vAlign w:val="center"/>
          </w:tcPr>
          <w:p w14:paraId="47419B8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3AF8708C"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680270EA"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w:t>
            </w:r>
          </w:p>
        </w:tc>
        <w:tc>
          <w:tcPr>
            <w:tcW w:w="870" w:type="dxa"/>
            <w:shd w:val="clear" w:color="auto" w:fill="auto"/>
            <w:vAlign w:val="center"/>
          </w:tcPr>
          <w:p w14:paraId="40B2BAD7"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55</w:t>
            </w:r>
          </w:p>
        </w:tc>
        <w:tc>
          <w:tcPr>
            <w:tcW w:w="870" w:type="dxa"/>
            <w:shd w:val="clear" w:color="auto" w:fill="auto"/>
            <w:vAlign w:val="center"/>
          </w:tcPr>
          <w:p w14:paraId="23B6B149"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1</w:t>
            </w:r>
          </w:p>
        </w:tc>
        <w:tc>
          <w:tcPr>
            <w:tcW w:w="870" w:type="dxa"/>
            <w:shd w:val="clear" w:color="auto" w:fill="auto"/>
            <w:vAlign w:val="center"/>
          </w:tcPr>
          <w:p w14:paraId="32BBF591"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0</w:t>
            </w:r>
          </w:p>
        </w:tc>
        <w:tc>
          <w:tcPr>
            <w:tcW w:w="870" w:type="dxa"/>
            <w:shd w:val="clear" w:color="auto" w:fill="auto"/>
            <w:vAlign w:val="center"/>
          </w:tcPr>
          <w:p w14:paraId="6FC8906B" w14:textId="77777777" w:rsidR="00696FD0" w:rsidRPr="00242DD3" w:rsidRDefault="00696FD0" w:rsidP="00696FD0">
            <w:pPr>
              <w:autoSpaceDE w:val="0"/>
              <w:autoSpaceDN w:val="0"/>
              <w:adjustRightInd w:val="0"/>
              <w:jc w:val="center"/>
              <w:rPr>
                <w:color w:val="000000" w:themeColor="text1"/>
                <w:sz w:val="20"/>
                <w:szCs w:val="20"/>
                <w:lang w:eastAsia="zh-CN"/>
              </w:rPr>
            </w:pPr>
            <w:r w:rsidRPr="1B319BFB">
              <w:rPr>
                <w:rFonts w:eastAsia="Calibri" w:cs="Calibri"/>
                <w:color w:val="000000" w:themeColor="text1"/>
                <w:kern w:val="24"/>
                <w:sz w:val="20"/>
                <w:szCs w:val="20"/>
              </w:rPr>
              <w:t>4</w:t>
            </w:r>
          </w:p>
        </w:tc>
      </w:tr>
    </w:tbl>
    <w:p w14:paraId="31E7CF80" w14:textId="77777777" w:rsidR="00696FD0" w:rsidRDefault="00696FD0"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2091558" w14:textId="23273D75" w:rsidR="000F5E86" w:rsidRPr="00F416A6" w:rsidRDefault="000F5E86" w:rsidP="000F5E86">
      <w:pPr>
        <w:autoSpaceDE w:val="0"/>
        <w:autoSpaceDN w:val="0"/>
        <w:adjustRightInd w:val="0"/>
        <w:spacing w:after="0" w:line="240" w:lineRule="auto"/>
        <w:outlineLvl w:val="0"/>
        <w:rPr>
          <w:b/>
          <w:bCs/>
          <w:color w:val="0000FF"/>
        </w:rPr>
      </w:pPr>
    </w:p>
    <w:p w14:paraId="0CABCFCB" w14:textId="50F69BA2" w:rsidR="00E37E1B" w:rsidRDefault="000F5E86" w:rsidP="000F5E86">
      <w:pPr>
        <w:autoSpaceDE w:val="0"/>
        <w:autoSpaceDN w:val="0"/>
        <w:adjustRightInd w:val="0"/>
        <w:spacing w:after="120" w:line="240" w:lineRule="auto"/>
        <w:rPr>
          <w:color w:val="0000FF"/>
        </w:rPr>
      </w:pPr>
      <w:r w:rsidRPr="15B07BB9">
        <w:rPr>
          <w:color w:val="0000FF"/>
        </w:rPr>
        <w:t>A 20% random sample of patient records of the originally sampled 100 records for each facility was re-abstracted by a second independent abstractor for the data element reliability analysis (inter-rater reliability).</w:t>
      </w:r>
    </w:p>
    <w:p w14:paraId="3634ABAF" w14:textId="7397BB1D" w:rsidR="00AF09FB" w:rsidRPr="00A0785D" w:rsidRDefault="00CB5C40" w:rsidP="00AF09FB">
      <w:pPr>
        <w:autoSpaceDE w:val="0"/>
        <w:autoSpaceDN w:val="0"/>
        <w:adjustRightInd w:val="0"/>
        <w:spacing w:after="0" w:line="240" w:lineRule="auto"/>
        <w:outlineLvl w:val="0"/>
        <w:rPr>
          <w:bCs/>
          <w:color w:val="0000FF"/>
        </w:rPr>
      </w:pPr>
      <w:r>
        <w:rPr>
          <w:bCs/>
          <w:color w:val="0000FF"/>
        </w:rPr>
        <w:t>F</w:t>
      </w:r>
      <w:r w:rsidR="00AF09FB">
        <w:rPr>
          <w:bCs/>
          <w:color w:val="0000FF"/>
        </w:rPr>
        <w:t xml:space="preserve">acilities were instructed to abstract patient admissions that were 24 hours or more in duration because that was the minimum amount of time deemed to be fair for facilities to complete the medication reconciliation process. However, after testing and reviewing with the TEP, the timeframe for completing the medication reconciliation was extended to 2 days from the admission date. Because dates and times were not collected, the testing sample may include some patient admissions greater than 24 hours but less than 2 days from the admission. </w:t>
      </w:r>
    </w:p>
    <w:p w14:paraId="37E6EAD7" w14:textId="29F827AB" w:rsidR="00AF09FB" w:rsidRPr="000F5E86" w:rsidRDefault="00AF09FB" w:rsidP="000F5E86">
      <w:pPr>
        <w:autoSpaceDE w:val="0"/>
        <w:autoSpaceDN w:val="0"/>
        <w:adjustRightInd w:val="0"/>
        <w:spacing w:after="120" w:line="240" w:lineRule="auto"/>
        <w:rPr>
          <w:color w:val="0000FF"/>
        </w:rPr>
      </w:pPr>
    </w:p>
    <w:p w14:paraId="0CABCFCC" w14:textId="52ADD0AF"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712BAB0E" w14:textId="05050052" w:rsidR="00814277" w:rsidRPr="00814277" w:rsidRDefault="00814277" w:rsidP="00E37E1B">
      <w:pPr>
        <w:autoSpaceDE w:val="0"/>
        <w:autoSpaceDN w:val="0"/>
        <w:adjustRightInd w:val="0"/>
        <w:spacing w:after="0" w:line="240" w:lineRule="auto"/>
        <w:rPr>
          <w:b/>
          <w:bCs/>
          <w:color w:val="0000FF"/>
        </w:rPr>
      </w:pPr>
      <w:r w:rsidRPr="15B07BB9">
        <w:rPr>
          <w:color w:val="0000FF"/>
        </w:rPr>
        <w:t>Not applicable, measure is not risk adjusted or stratified.</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69BF47B7" w14:textId="33A3188A" w:rsidR="00C95D95" w:rsidRPr="00A56E5A" w:rsidRDefault="00092566" w:rsidP="00C95D95">
      <w:pPr>
        <w:autoSpaceDE w:val="0"/>
        <w:autoSpaceDN w:val="0"/>
        <w:adjustRightInd w:val="0"/>
        <w:spacing w:after="0" w:line="240" w:lineRule="auto"/>
        <w:outlineLvl w:val="0"/>
        <w:rPr>
          <w:rFonts w:cstheme="minorHAnsi"/>
          <w:bCs/>
          <w:color w:val="0000FF"/>
          <w:u w:val="single"/>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4942A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4942AD">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p>
    <w:p w14:paraId="0CABCFD1" w14:textId="34EB2B32" w:rsidR="001969C5" w:rsidRPr="00A25024" w:rsidRDefault="001F7A20" w:rsidP="00A56E5A">
      <w:pPr>
        <w:autoSpaceDE w:val="0"/>
        <w:autoSpaceDN w:val="0"/>
        <w:adjustRightInd w:val="0"/>
        <w:spacing w:after="0" w:line="240" w:lineRule="auto"/>
        <w:rPr>
          <w:rFonts w:cstheme="minorHAnsi"/>
          <w:bCs/>
        </w:rPr>
      </w:pPr>
      <w:r w:rsidRPr="00A56E5A">
        <w:rPr>
          <w:rFonts w:cstheme="minorHAnsi"/>
          <w:bCs/>
          <w:color w:val="0000FF"/>
          <w:u w:val="single"/>
        </w:rPr>
        <w:br/>
      </w:r>
      <w:r>
        <w:rPr>
          <w:rFonts w:cstheme="minorHAnsi"/>
          <w:b/>
          <w:bCs/>
        </w:rPr>
        <w:t>2a2.</w:t>
      </w:r>
      <w:r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58DDA461" w14:textId="77777777" w:rsidR="00C95D95" w:rsidRPr="0052444D" w:rsidRDefault="00C95D95" w:rsidP="00C95D95">
      <w:pPr>
        <w:autoSpaceDE w:val="0"/>
        <w:autoSpaceDN w:val="0"/>
        <w:adjustRightInd w:val="0"/>
        <w:spacing w:after="0" w:line="240" w:lineRule="auto"/>
        <w:outlineLvl w:val="0"/>
        <w:rPr>
          <w:b/>
          <w:bCs/>
          <w:color w:val="0000FF"/>
        </w:rPr>
      </w:pPr>
      <w:r w:rsidRPr="15B07BB9">
        <w:rPr>
          <w:b/>
          <w:bCs/>
          <w:color w:val="0000FF"/>
        </w:rPr>
        <w:lastRenderedPageBreak/>
        <w:t>Data Element Reliability</w:t>
      </w:r>
    </w:p>
    <w:p w14:paraId="49F80490" w14:textId="60BC6EDA" w:rsidR="00C95D95" w:rsidRPr="000F5E86" w:rsidRDefault="00C95D95" w:rsidP="00C95D95">
      <w:pPr>
        <w:autoSpaceDE w:val="0"/>
        <w:autoSpaceDN w:val="0"/>
        <w:adjustRightInd w:val="0"/>
        <w:spacing w:after="0" w:line="240" w:lineRule="auto"/>
        <w:rPr>
          <w:color w:val="0000FF"/>
        </w:rPr>
      </w:pPr>
      <w:r w:rsidRPr="000F5E86">
        <w:rPr>
          <w:color w:val="0000FF"/>
        </w:rPr>
        <w:t>Two trained abstractors at each IPF independently completed data ascertainment for all measure elements using a random subset of approximately 20 patient records per facility for a total subsample of 175 patient records (</w:t>
      </w:r>
      <w:r w:rsidR="00092107">
        <w:rPr>
          <w:color w:val="0000FF"/>
        </w:rPr>
        <w:t>Table 2a2.2</w:t>
      </w:r>
      <w:r w:rsidRPr="000F5E86">
        <w:rPr>
          <w:color w:val="0000FF"/>
        </w:rPr>
        <w:t>). There were five cases that could not be used for the inter-rater reliability (IRR) testing because these cases had differing admission dates and/or times and could not be matched to cases reviewed by both abstractors.</w:t>
      </w:r>
    </w:p>
    <w:p w14:paraId="4AD3F4A9" w14:textId="77777777" w:rsidR="00C95D95" w:rsidRPr="00D41EE1" w:rsidRDefault="00C95D95" w:rsidP="00775E17">
      <w:pPr>
        <w:pStyle w:val="Caption"/>
      </w:pPr>
      <w:bookmarkStart w:id="28" w:name="_Toc478140188"/>
      <w:bookmarkStart w:id="29" w:name="_Toc485898269"/>
      <w:bookmarkStart w:id="30" w:name="_Toc486419630"/>
      <w:bookmarkStart w:id="31" w:name="_Toc487097902"/>
      <w:bookmarkStart w:id="32" w:name="_Toc487104013"/>
      <w:bookmarkStart w:id="33" w:name="_Toc487793026"/>
      <w:bookmarkStart w:id="34" w:name="_Toc490226704"/>
      <w:r w:rsidRPr="00BD4F89">
        <w:rPr>
          <w:bCs/>
        </w:rPr>
        <w:t xml:space="preserve">Table 2a2.2 </w:t>
      </w:r>
      <w:r w:rsidRPr="00D41EE1">
        <w:t xml:space="preserve">Distribution of </w:t>
      </w:r>
      <w:r>
        <w:t>R</w:t>
      </w:r>
      <w:r w:rsidRPr="00D41EE1">
        <w:t xml:space="preserve">ecords </w:t>
      </w:r>
      <w:r>
        <w:t>A</w:t>
      </w:r>
      <w:r w:rsidRPr="00D41EE1">
        <w:t xml:space="preserve">vailable for </w:t>
      </w:r>
      <w:r>
        <w:t>I</w:t>
      </w:r>
      <w:r w:rsidRPr="00D41EE1">
        <w:t xml:space="preserve">nter-rater </w:t>
      </w:r>
      <w:r>
        <w:t>R</w:t>
      </w:r>
      <w:r w:rsidRPr="00D41EE1">
        <w:t xml:space="preserve">eliability </w:t>
      </w:r>
      <w:r>
        <w:t>A</w:t>
      </w:r>
      <w:r w:rsidRPr="00D41EE1">
        <w:t xml:space="preserve">nalysis </w:t>
      </w:r>
      <w:r>
        <w:t>A</w:t>
      </w:r>
      <w:r w:rsidRPr="00D41EE1">
        <w:t>cross IPFs</w:t>
      </w:r>
      <w:bookmarkEnd w:id="28"/>
      <w:bookmarkEnd w:id="29"/>
      <w:bookmarkEnd w:id="30"/>
      <w:bookmarkEnd w:id="31"/>
      <w:bookmarkEnd w:id="32"/>
      <w:bookmarkEnd w:id="33"/>
      <w:bookmarkEnd w:id="34"/>
    </w:p>
    <w:tbl>
      <w:tblPr>
        <w:tblStyle w:val="TableGrid"/>
        <w:tblW w:w="0" w:type="auto"/>
        <w:tblInd w:w="-5" w:type="dxa"/>
        <w:tblLook w:val="04A0" w:firstRow="1" w:lastRow="0" w:firstColumn="1" w:lastColumn="0" w:noHBand="0" w:noVBand="1"/>
      </w:tblPr>
      <w:tblGrid>
        <w:gridCol w:w="1164"/>
        <w:gridCol w:w="818"/>
        <w:gridCol w:w="818"/>
        <w:gridCol w:w="818"/>
        <w:gridCol w:w="818"/>
        <w:gridCol w:w="818"/>
        <w:gridCol w:w="817"/>
        <w:gridCol w:w="818"/>
        <w:gridCol w:w="818"/>
        <w:gridCol w:w="818"/>
        <w:gridCol w:w="830"/>
      </w:tblGrid>
      <w:tr w:rsidR="00C95D95" w:rsidRPr="005E3009" w14:paraId="3EC791EB" w14:textId="77777777" w:rsidTr="00970D2B">
        <w:tc>
          <w:tcPr>
            <w:tcW w:w="1193" w:type="dxa"/>
            <w:shd w:val="clear" w:color="auto" w:fill="365F91" w:themeFill="accent1" w:themeFillShade="BF"/>
          </w:tcPr>
          <w:p w14:paraId="405DC3E6" w14:textId="77777777" w:rsidR="00C95D95" w:rsidRPr="005E3009" w:rsidRDefault="00C95D95" w:rsidP="00970D2B">
            <w:pPr>
              <w:autoSpaceDE w:val="0"/>
              <w:autoSpaceDN w:val="0"/>
              <w:adjustRightInd w:val="0"/>
              <w:rPr>
                <w:rFonts w:ascii="Calibri" w:hAnsi="Calibri"/>
                <w:b/>
                <w:color w:val="FFFFFF" w:themeColor="background1"/>
                <w:lang w:eastAsia="zh-CN"/>
              </w:rPr>
            </w:pPr>
          </w:p>
        </w:tc>
        <w:tc>
          <w:tcPr>
            <w:tcW w:w="838" w:type="dxa"/>
            <w:shd w:val="clear" w:color="auto" w:fill="365F91" w:themeFill="accent1" w:themeFillShade="BF"/>
          </w:tcPr>
          <w:p w14:paraId="6831137D"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1</w:t>
            </w:r>
          </w:p>
        </w:tc>
        <w:tc>
          <w:tcPr>
            <w:tcW w:w="839" w:type="dxa"/>
            <w:shd w:val="clear" w:color="auto" w:fill="365F91" w:themeFill="accent1" w:themeFillShade="BF"/>
          </w:tcPr>
          <w:p w14:paraId="3DC58072"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2</w:t>
            </w:r>
          </w:p>
        </w:tc>
        <w:tc>
          <w:tcPr>
            <w:tcW w:w="839" w:type="dxa"/>
            <w:shd w:val="clear" w:color="auto" w:fill="365F91" w:themeFill="accent1" w:themeFillShade="BF"/>
          </w:tcPr>
          <w:p w14:paraId="5CDD6DAE"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3</w:t>
            </w:r>
          </w:p>
        </w:tc>
        <w:tc>
          <w:tcPr>
            <w:tcW w:w="839" w:type="dxa"/>
            <w:shd w:val="clear" w:color="auto" w:fill="365F91" w:themeFill="accent1" w:themeFillShade="BF"/>
          </w:tcPr>
          <w:p w14:paraId="35C58500"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4</w:t>
            </w:r>
          </w:p>
        </w:tc>
        <w:tc>
          <w:tcPr>
            <w:tcW w:w="839" w:type="dxa"/>
            <w:shd w:val="clear" w:color="auto" w:fill="365F91" w:themeFill="accent1" w:themeFillShade="BF"/>
          </w:tcPr>
          <w:p w14:paraId="758C3434"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5</w:t>
            </w:r>
          </w:p>
        </w:tc>
        <w:tc>
          <w:tcPr>
            <w:tcW w:w="838" w:type="dxa"/>
            <w:shd w:val="clear" w:color="auto" w:fill="365F91" w:themeFill="accent1" w:themeFillShade="BF"/>
          </w:tcPr>
          <w:p w14:paraId="1EBB9B9D"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6</w:t>
            </w:r>
          </w:p>
        </w:tc>
        <w:tc>
          <w:tcPr>
            <w:tcW w:w="839" w:type="dxa"/>
            <w:shd w:val="clear" w:color="auto" w:fill="365F91" w:themeFill="accent1" w:themeFillShade="BF"/>
          </w:tcPr>
          <w:p w14:paraId="1E4D9F18"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7</w:t>
            </w:r>
          </w:p>
        </w:tc>
        <w:tc>
          <w:tcPr>
            <w:tcW w:w="839" w:type="dxa"/>
            <w:shd w:val="clear" w:color="auto" w:fill="365F91" w:themeFill="accent1" w:themeFillShade="BF"/>
          </w:tcPr>
          <w:p w14:paraId="22DD1305"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8</w:t>
            </w:r>
          </w:p>
        </w:tc>
        <w:tc>
          <w:tcPr>
            <w:tcW w:w="839" w:type="dxa"/>
            <w:shd w:val="clear" w:color="auto" w:fill="365F91" w:themeFill="accent1" w:themeFillShade="BF"/>
          </w:tcPr>
          <w:p w14:paraId="162F5C3E"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IPF 9</w:t>
            </w:r>
          </w:p>
        </w:tc>
        <w:tc>
          <w:tcPr>
            <w:tcW w:w="839" w:type="dxa"/>
            <w:shd w:val="clear" w:color="auto" w:fill="365F91" w:themeFill="accent1" w:themeFillShade="BF"/>
          </w:tcPr>
          <w:p w14:paraId="31F27D8F" w14:textId="77777777" w:rsidR="00C95D95" w:rsidRPr="005E3009" w:rsidRDefault="00C95D95" w:rsidP="00970D2B">
            <w:pPr>
              <w:autoSpaceDE w:val="0"/>
              <w:autoSpaceDN w:val="0"/>
              <w:adjustRightInd w:val="0"/>
              <w:rPr>
                <w:rFonts w:ascii="Calibri" w:hAnsi="Calibri"/>
                <w:b/>
                <w:color w:val="FFFFFF" w:themeColor="background1"/>
                <w:lang w:eastAsia="zh-CN"/>
              </w:rPr>
            </w:pPr>
            <w:r w:rsidRPr="005E3009">
              <w:rPr>
                <w:rFonts w:ascii="Calibri" w:hAnsi="Calibri"/>
                <w:b/>
                <w:color w:val="FFFFFF" w:themeColor="background1"/>
                <w:lang w:eastAsia="zh-CN"/>
              </w:rPr>
              <w:t>Total</w:t>
            </w:r>
          </w:p>
        </w:tc>
      </w:tr>
      <w:tr w:rsidR="00C95D95" w:rsidRPr="00557D68" w14:paraId="72D37F80" w14:textId="77777777" w:rsidTr="00970D2B">
        <w:tc>
          <w:tcPr>
            <w:tcW w:w="1193" w:type="dxa"/>
            <w:shd w:val="clear" w:color="auto" w:fill="auto"/>
          </w:tcPr>
          <w:p w14:paraId="0935BC57"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IRR cases</w:t>
            </w:r>
          </w:p>
        </w:tc>
        <w:tc>
          <w:tcPr>
            <w:tcW w:w="838" w:type="dxa"/>
            <w:shd w:val="clear" w:color="auto" w:fill="auto"/>
          </w:tcPr>
          <w:p w14:paraId="6D871285"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19</w:t>
            </w:r>
          </w:p>
        </w:tc>
        <w:tc>
          <w:tcPr>
            <w:tcW w:w="839" w:type="dxa"/>
            <w:shd w:val="clear" w:color="auto" w:fill="auto"/>
          </w:tcPr>
          <w:p w14:paraId="71DE6C01"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20</w:t>
            </w:r>
          </w:p>
        </w:tc>
        <w:tc>
          <w:tcPr>
            <w:tcW w:w="839" w:type="dxa"/>
            <w:shd w:val="clear" w:color="auto" w:fill="auto"/>
          </w:tcPr>
          <w:p w14:paraId="7CE24D95"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18</w:t>
            </w:r>
          </w:p>
        </w:tc>
        <w:tc>
          <w:tcPr>
            <w:tcW w:w="839" w:type="dxa"/>
            <w:shd w:val="clear" w:color="auto" w:fill="auto"/>
          </w:tcPr>
          <w:p w14:paraId="10C74AA3"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20</w:t>
            </w:r>
          </w:p>
        </w:tc>
        <w:tc>
          <w:tcPr>
            <w:tcW w:w="839" w:type="dxa"/>
            <w:shd w:val="clear" w:color="auto" w:fill="auto"/>
          </w:tcPr>
          <w:p w14:paraId="48870C48"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20</w:t>
            </w:r>
          </w:p>
        </w:tc>
        <w:tc>
          <w:tcPr>
            <w:tcW w:w="838" w:type="dxa"/>
            <w:shd w:val="clear" w:color="auto" w:fill="auto"/>
          </w:tcPr>
          <w:p w14:paraId="7FEF016A"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20</w:t>
            </w:r>
          </w:p>
        </w:tc>
        <w:tc>
          <w:tcPr>
            <w:tcW w:w="839" w:type="dxa"/>
            <w:shd w:val="clear" w:color="auto" w:fill="auto"/>
          </w:tcPr>
          <w:p w14:paraId="0F1648DB"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19</w:t>
            </w:r>
          </w:p>
        </w:tc>
        <w:tc>
          <w:tcPr>
            <w:tcW w:w="839" w:type="dxa"/>
            <w:shd w:val="clear" w:color="auto" w:fill="auto"/>
          </w:tcPr>
          <w:p w14:paraId="64F5AB16"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19</w:t>
            </w:r>
          </w:p>
        </w:tc>
        <w:tc>
          <w:tcPr>
            <w:tcW w:w="839" w:type="dxa"/>
            <w:shd w:val="clear" w:color="auto" w:fill="auto"/>
          </w:tcPr>
          <w:p w14:paraId="3FB1474E"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20</w:t>
            </w:r>
          </w:p>
        </w:tc>
        <w:tc>
          <w:tcPr>
            <w:tcW w:w="839" w:type="dxa"/>
            <w:shd w:val="clear" w:color="auto" w:fill="auto"/>
          </w:tcPr>
          <w:p w14:paraId="0F094CC9" w14:textId="77777777" w:rsidR="00C95D95" w:rsidRPr="00557D68" w:rsidRDefault="00C95D95" w:rsidP="00970D2B">
            <w:pPr>
              <w:autoSpaceDE w:val="0"/>
              <w:autoSpaceDN w:val="0"/>
              <w:adjustRightInd w:val="0"/>
              <w:rPr>
                <w:rFonts w:ascii="Calibri" w:hAnsi="Calibri"/>
                <w:color w:val="000000" w:themeColor="text1"/>
                <w:lang w:eastAsia="zh-CN"/>
              </w:rPr>
            </w:pPr>
            <w:r w:rsidRPr="3CB27D9F">
              <w:rPr>
                <w:rFonts w:ascii="Calibri" w:hAnsi="Calibri"/>
                <w:color w:val="000000" w:themeColor="text1"/>
                <w:lang w:eastAsia="zh-CN"/>
              </w:rPr>
              <w:t>175</w:t>
            </w:r>
          </w:p>
        </w:tc>
      </w:tr>
    </w:tbl>
    <w:p w14:paraId="36CF5274" w14:textId="0119BEE0" w:rsidR="00C95D95" w:rsidRPr="009C6124" w:rsidRDefault="00C95D95" w:rsidP="00C95D95">
      <w:pPr>
        <w:autoSpaceDE w:val="0"/>
        <w:autoSpaceDN w:val="0"/>
        <w:adjustRightInd w:val="0"/>
        <w:spacing w:before="120" w:after="0" w:line="240" w:lineRule="auto"/>
        <w:rPr>
          <w:rFonts w:cs="Times New Roman"/>
          <w:color w:val="0000FF"/>
        </w:rPr>
      </w:pPr>
      <w:r w:rsidRPr="009C6124">
        <w:rPr>
          <w:color w:val="0000FF"/>
        </w:rPr>
        <w:t>Paired abstractors used a structured medical record abstraction tool developed in Microsoft Excel to independently collect data elements used to define the measure population and to calculate the measure score. Inter-rater reliability</w:t>
      </w:r>
      <w:r w:rsidRPr="009C6124" w:rsidDel="002B293B">
        <w:rPr>
          <w:color w:val="0000FF"/>
        </w:rPr>
        <w:t xml:space="preserve"> </w:t>
      </w:r>
      <w:r w:rsidRPr="009C6124">
        <w:rPr>
          <w:color w:val="0000FF"/>
        </w:rPr>
        <w:t xml:space="preserve">between the two abstractors at each site and for each data element used to calculate the measure score was assessed using percent overall agreement and Cohen's Kappa statistic. </w:t>
      </w:r>
      <w:r w:rsidRPr="009C6124">
        <w:rPr>
          <w:rFonts w:eastAsia="Calibri" w:cs="Times New Roman"/>
          <w:color w:val="0000FF"/>
          <w:shd w:val="clear" w:color="auto" w:fill="FFFFFF"/>
        </w:rPr>
        <w:t xml:space="preserve">“Agreed” means the two abstractors provided consistent answers to the same data element question. </w:t>
      </w:r>
      <w:r w:rsidRPr="009C6124">
        <w:rPr>
          <w:color w:val="0000FF"/>
        </w:rPr>
        <w:t xml:space="preserve">Cohen’s Kappa is a measure of inter-rater agreement that accounts for abstractors’ agreement by chance alone. It is standardized on a -1 to 1 scale, where 1 is perfect agreement, 0 is exactly what would be expected by chance, and negative values indicate agreement less than by chance (such as, systematic disagreement between abstractors). A common scale is used to interpret Kappa statistics: 0.01–0.20 is considered slight agreement; 0.21–0.40 is fair agreement; 0.41–0.60 is moderate </w:t>
      </w:r>
      <w:r w:rsidRPr="009C6124">
        <w:rPr>
          <w:rFonts w:cs="Times New Roman"/>
          <w:color w:val="0000FF"/>
        </w:rPr>
        <w:t>agreement; 0.61–0.80 is substantial agreement; 0.81–0.99 is almost perfect agreement.</w:t>
      </w:r>
    </w:p>
    <w:p w14:paraId="4A9AF6D8" w14:textId="77777777" w:rsidR="00C95D95" w:rsidRPr="009C6124" w:rsidRDefault="00C95D95" w:rsidP="00C95D95">
      <w:pPr>
        <w:autoSpaceDE w:val="0"/>
        <w:autoSpaceDN w:val="0"/>
        <w:adjustRightInd w:val="0"/>
        <w:spacing w:after="0" w:line="240" w:lineRule="auto"/>
        <w:rPr>
          <w:rFonts w:cs="Times New Roman"/>
          <w:color w:val="0000FF"/>
        </w:rPr>
      </w:pPr>
      <w:r w:rsidRPr="009C6124">
        <w:rPr>
          <w:rFonts w:eastAsia="Calibri" w:cs="Times New Roman"/>
          <w:color w:val="0000FF"/>
          <w:shd w:val="clear" w:color="auto" w:fill="FFFFFF"/>
        </w:rPr>
        <w:t>To calculate Cohen’s Kappa, the abstractors’ responses for all patients were organized into four categories (P</w:t>
      </w:r>
      <w:r w:rsidRPr="009C6124">
        <w:rPr>
          <w:rFonts w:eastAsia="Calibri" w:cs="Times New Roman"/>
          <w:color w:val="0000FF"/>
          <w:shd w:val="clear" w:color="auto" w:fill="FFFFFF"/>
          <w:vertAlign w:val="subscript"/>
        </w:rPr>
        <w:t>11</w:t>
      </w:r>
      <w:r w:rsidRPr="009C6124">
        <w:rPr>
          <w:rFonts w:eastAsia="Calibri" w:cs="Times New Roman"/>
          <w:color w:val="0000FF"/>
          <w:shd w:val="clear" w:color="auto" w:fill="FFFFFF"/>
        </w:rPr>
        <w:t>: (1, 1), P</w:t>
      </w:r>
      <w:r w:rsidRPr="009C6124">
        <w:rPr>
          <w:rFonts w:eastAsia="Calibri" w:cs="Times New Roman"/>
          <w:color w:val="0000FF"/>
          <w:shd w:val="clear" w:color="auto" w:fill="FFFFFF"/>
          <w:vertAlign w:val="subscript"/>
        </w:rPr>
        <w:t>10</w:t>
      </w:r>
      <w:r w:rsidRPr="009C6124">
        <w:rPr>
          <w:rFonts w:eastAsia="Calibri" w:cs="Times New Roman"/>
          <w:color w:val="0000FF"/>
          <w:shd w:val="clear" w:color="auto" w:fill="FFFFFF"/>
        </w:rPr>
        <w:t>: (1, 0), P</w:t>
      </w:r>
      <w:r w:rsidRPr="009C6124">
        <w:rPr>
          <w:rFonts w:eastAsia="Calibri" w:cs="Times New Roman"/>
          <w:color w:val="0000FF"/>
          <w:shd w:val="clear" w:color="auto" w:fill="FFFFFF"/>
          <w:vertAlign w:val="subscript"/>
        </w:rPr>
        <w:t>01</w:t>
      </w:r>
      <w:r w:rsidRPr="009C6124">
        <w:rPr>
          <w:rFonts w:eastAsia="Calibri" w:cs="Times New Roman"/>
          <w:color w:val="0000FF"/>
          <w:shd w:val="clear" w:color="auto" w:fill="FFFFFF"/>
        </w:rPr>
        <w:t>: (0, 1) and P</w:t>
      </w:r>
      <w:r w:rsidRPr="009C6124">
        <w:rPr>
          <w:rFonts w:eastAsia="Calibri" w:cs="Times New Roman"/>
          <w:color w:val="0000FF"/>
          <w:shd w:val="clear" w:color="auto" w:fill="FFFFFF"/>
          <w:vertAlign w:val="subscript"/>
        </w:rPr>
        <w:t>00</w:t>
      </w:r>
      <w:r w:rsidRPr="009C6124">
        <w:rPr>
          <w:rFonts w:eastAsia="Calibri" w:cs="Times New Roman"/>
          <w:color w:val="0000FF"/>
          <w:shd w:val="clear" w:color="auto" w:fill="FFFFFF"/>
        </w:rPr>
        <w:t>: (0, 0)) for each facility.  For each IPF, overall agreement and Cohen’s Kappa were calculated.</w:t>
      </w:r>
    </w:p>
    <w:p w14:paraId="35FC99FB" w14:textId="77777777" w:rsidR="00C95D95" w:rsidRDefault="00C95D95" w:rsidP="00C95D95">
      <w:pPr>
        <w:pStyle w:val="ListParagraph"/>
        <w:spacing w:after="0" w:line="240" w:lineRule="auto"/>
        <w:ind w:left="0"/>
        <w:rPr>
          <w:rFonts w:eastAsia="Calibri" w:cs="Times New Roman"/>
          <w:color w:val="0000FF"/>
          <w:shd w:val="clear" w:color="auto" w:fill="FFFFFF"/>
        </w:rPr>
      </w:pPr>
    </w:p>
    <w:p w14:paraId="36AC0009" w14:textId="77777777" w:rsidR="00C95D95" w:rsidRPr="009C6124" w:rsidRDefault="00C95D95" w:rsidP="00C95D95">
      <w:pPr>
        <w:pStyle w:val="ListParagraph"/>
        <w:spacing w:after="0" w:line="240" w:lineRule="auto"/>
        <w:ind w:left="0"/>
        <w:rPr>
          <w:rFonts w:eastAsia="Calibri" w:cs="Times New Roman"/>
          <w:color w:val="0000FF"/>
        </w:rPr>
      </w:pPr>
      <w:r w:rsidRPr="009C6124">
        <w:rPr>
          <w:rFonts w:eastAsia="Calibri" w:cs="Times New Roman"/>
          <w:color w:val="0000FF"/>
          <w:shd w:val="clear" w:color="auto" w:fill="FFFFFF"/>
        </w:rPr>
        <w:t>Cohen’s Kappa was calculated based on the following formula:</w:t>
      </w:r>
    </w:p>
    <w:p w14:paraId="7F8A288A" w14:textId="77777777" w:rsidR="00C95D95" w:rsidRPr="009C6124" w:rsidRDefault="00C95D95" w:rsidP="00C95D95">
      <w:pPr>
        <w:pStyle w:val="ListParagraph"/>
        <w:spacing w:after="0" w:line="240" w:lineRule="auto"/>
        <w:ind w:left="0"/>
        <w:jc w:val="center"/>
        <w:outlineLvl w:val="0"/>
        <w:rPr>
          <w:rFonts w:eastAsia="Calibri" w:cs="Times New Roman"/>
          <w:color w:val="0000FF"/>
        </w:rPr>
      </w:pPr>
      <w:r w:rsidRPr="009C6124">
        <w:rPr>
          <w:rFonts w:eastAsia="Calibri" w:cs="Times New Roman"/>
          <w:color w:val="0000FF"/>
          <w:shd w:val="clear" w:color="auto" w:fill="FFFFFF"/>
        </w:rPr>
        <w:t xml:space="preserve">Cohen’s Kappa = </w:t>
      </w:r>
      <m:oMath>
        <m:f>
          <m:fPr>
            <m:ctrlPr>
              <w:rPr>
                <w:rFonts w:ascii="Cambria Math" w:hAnsi="Cambria Math" w:cs="Times New Roman"/>
                <w:i/>
                <w:color w:val="0000FF"/>
                <w:shd w:val="clear" w:color="auto" w:fill="FFFFFF"/>
              </w:rPr>
            </m:ctrlPr>
          </m:fPr>
          <m:num>
            <m:sSub>
              <m:sSubPr>
                <m:ctrlPr>
                  <w:rPr>
                    <w:rFonts w:ascii="Cambria Math" w:hAnsi="Cambria Math" w:cs="Times New Roman"/>
                    <w:i/>
                    <w:color w:val="0000FF"/>
                    <w:shd w:val="clear" w:color="auto" w:fill="FFFFFF"/>
                  </w:rPr>
                </m:ctrlPr>
              </m:sSubPr>
              <m:e>
                <m:r>
                  <w:rPr>
                    <w:rFonts w:ascii="Cambria Math" w:hAnsi="Cambria Math" w:cs="Times New Roman"/>
                    <w:color w:val="0000FF"/>
                    <w:shd w:val="clear" w:color="auto" w:fill="FFFFFF"/>
                  </w:rPr>
                  <m:t>P</m:t>
                </m:r>
              </m:e>
              <m:sub>
                <m:r>
                  <w:rPr>
                    <w:rFonts w:ascii="Cambria Math" w:hAnsi="Cambria Math" w:cs="Times New Roman"/>
                    <w:color w:val="0000FF"/>
                    <w:shd w:val="clear" w:color="auto" w:fill="FFFFFF"/>
                  </w:rPr>
                  <m:t>o</m:t>
                </m:r>
              </m:sub>
            </m:sSub>
            <m:sSub>
              <m:sSubPr>
                <m:ctrlPr>
                  <w:rPr>
                    <w:rFonts w:ascii="Cambria Math" w:hAnsi="Cambria Math" w:cs="Times New Roman"/>
                    <w:i/>
                    <w:color w:val="0000FF"/>
                    <w:shd w:val="clear" w:color="auto" w:fill="FFFFFF"/>
                  </w:rPr>
                </m:ctrlPr>
              </m:sSubPr>
              <m:e>
                <m:r>
                  <w:rPr>
                    <w:rFonts w:ascii="Cambria Math" w:hAnsi="Cambria Math" w:cs="Times New Roman"/>
                    <w:color w:val="0000FF"/>
                    <w:shd w:val="clear" w:color="auto" w:fill="FFFFFF"/>
                  </w:rPr>
                  <m:t>-P</m:t>
                </m:r>
              </m:e>
              <m:sub>
                <m:r>
                  <w:rPr>
                    <w:rFonts w:ascii="Cambria Math" w:hAnsi="Cambria Math" w:cs="Times New Roman"/>
                    <w:color w:val="0000FF"/>
                    <w:shd w:val="clear" w:color="auto" w:fill="FFFFFF"/>
                  </w:rPr>
                  <m:t>e</m:t>
                </m:r>
              </m:sub>
            </m:sSub>
          </m:num>
          <m:den>
            <m:r>
              <w:rPr>
                <w:rFonts w:ascii="Cambria Math" w:hAnsi="Cambria Math" w:cs="Times New Roman"/>
                <w:color w:val="0000FF"/>
                <w:shd w:val="clear" w:color="auto" w:fill="FFFFFF"/>
              </w:rPr>
              <m:t>1-</m:t>
            </m:r>
            <m:sSub>
              <m:sSubPr>
                <m:ctrlPr>
                  <w:rPr>
                    <w:rFonts w:ascii="Cambria Math" w:hAnsi="Cambria Math" w:cs="Times New Roman"/>
                    <w:i/>
                    <w:color w:val="0000FF"/>
                    <w:shd w:val="clear" w:color="auto" w:fill="FFFFFF"/>
                  </w:rPr>
                </m:ctrlPr>
              </m:sSubPr>
              <m:e>
                <m:r>
                  <w:rPr>
                    <w:rFonts w:ascii="Cambria Math" w:hAnsi="Cambria Math" w:cs="Times New Roman"/>
                    <w:color w:val="0000FF"/>
                    <w:shd w:val="clear" w:color="auto" w:fill="FFFFFF"/>
                  </w:rPr>
                  <m:t>P</m:t>
                </m:r>
              </m:e>
              <m:sub>
                <m:r>
                  <w:rPr>
                    <w:rFonts w:ascii="Cambria Math" w:hAnsi="Cambria Math" w:cs="Times New Roman"/>
                    <w:color w:val="0000FF"/>
                    <w:shd w:val="clear" w:color="auto" w:fill="FFFFFF"/>
                  </w:rPr>
                  <m:t>e</m:t>
                </m:r>
              </m:sub>
            </m:sSub>
          </m:den>
        </m:f>
      </m:oMath>
    </w:p>
    <w:p w14:paraId="72423D13" w14:textId="77777777" w:rsidR="00C95D95" w:rsidRDefault="00C95D95" w:rsidP="00C95D95">
      <w:pPr>
        <w:pStyle w:val="ListParagraph"/>
        <w:spacing w:after="0" w:line="240" w:lineRule="auto"/>
        <w:ind w:left="0"/>
        <w:rPr>
          <w:rFonts w:eastAsia="Calibri" w:cs="Times New Roman"/>
          <w:color w:val="0000FF"/>
          <w:shd w:val="clear" w:color="auto" w:fill="FFFFFF"/>
        </w:rPr>
      </w:pPr>
    </w:p>
    <w:p w14:paraId="722E0759" w14:textId="77777777" w:rsidR="00C95D95" w:rsidRPr="009C6124" w:rsidRDefault="00C95D95" w:rsidP="00C95D95">
      <w:pPr>
        <w:pStyle w:val="ListParagraph"/>
        <w:spacing w:after="0" w:line="240" w:lineRule="auto"/>
        <w:ind w:left="0"/>
        <w:rPr>
          <w:rFonts w:eastAsia="Calibri" w:cs="Times New Roman"/>
          <w:color w:val="0000FF"/>
        </w:rPr>
      </w:pPr>
      <w:r w:rsidRPr="009C6124">
        <w:rPr>
          <w:rFonts w:eastAsia="Calibri" w:cs="Times New Roman"/>
          <w:color w:val="0000FF"/>
          <w:shd w:val="clear" w:color="auto" w:fill="FFFFFF"/>
        </w:rPr>
        <w:t>In which P</w:t>
      </w:r>
      <w:r w:rsidRPr="009C6124">
        <w:rPr>
          <w:rFonts w:eastAsia="Calibri" w:cs="Times New Roman"/>
          <w:color w:val="0000FF"/>
          <w:shd w:val="clear" w:color="auto" w:fill="FFFFFF"/>
          <w:vertAlign w:val="subscript"/>
        </w:rPr>
        <w:t>o</w:t>
      </w:r>
      <w:r w:rsidRPr="009C6124">
        <w:rPr>
          <w:rFonts w:eastAsia="Calibri" w:cs="Times New Roman"/>
          <w:color w:val="0000FF"/>
          <w:shd w:val="clear" w:color="auto" w:fill="FFFFFF"/>
        </w:rPr>
        <w:t xml:space="preserve"> is the observed proportion of agreement and P</w:t>
      </w:r>
      <w:r w:rsidRPr="009C6124">
        <w:rPr>
          <w:rFonts w:eastAsia="Calibri" w:cs="Times New Roman"/>
          <w:color w:val="0000FF"/>
          <w:shd w:val="clear" w:color="auto" w:fill="FFFFFF"/>
          <w:vertAlign w:val="subscript"/>
        </w:rPr>
        <w:t>e</w:t>
      </w:r>
      <w:r w:rsidRPr="009C6124">
        <w:rPr>
          <w:rFonts w:eastAsia="Calibri" w:cs="Times New Roman"/>
          <w:color w:val="0000FF"/>
          <w:shd w:val="clear" w:color="auto" w:fill="FFFFFF"/>
        </w:rPr>
        <w:t xml:space="preserve"> is the expected proportion of agreement. </w:t>
      </w:r>
    </w:p>
    <w:p w14:paraId="6ADCCE80" w14:textId="77777777" w:rsidR="00C95D95" w:rsidRPr="009C6124" w:rsidRDefault="00C95D95" w:rsidP="00C95D95">
      <w:pPr>
        <w:pStyle w:val="ListParagraph"/>
        <w:spacing w:after="0" w:line="240" w:lineRule="auto"/>
        <w:ind w:left="0"/>
        <w:rPr>
          <w:rFonts w:eastAsia="Calibri" w:cs="Times New Roman"/>
          <w:color w:val="0000FF"/>
        </w:rPr>
      </w:pPr>
      <w:r w:rsidRPr="009C6124">
        <w:rPr>
          <w:rFonts w:eastAsia="Calibri" w:cs="Times New Roman"/>
          <w:color w:val="0000FF"/>
          <w:shd w:val="clear" w:color="auto" w:fill="FFFFFF"/>
        </w:rPr>
        <w:t>P</w:t>
      </w:r>
      <w:r w:rsidRPr="009C6124">
        <w:rPr>
          <w:rFonts w:eastAsia="Calibri" w:cs="Times New Roman"/>
          <w:color w:val="0000FF"/>
          <w:shd w:val="clear" w:color="auto" w:fill="FFFFFF"/>
          <w:vertAlign w:val="subscript"/>
        </w:rPr>
        <w:t>o</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11</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00</w:t>
      </w:r>
    </w:p>
    <w:p w14:paraId="33EAF75E" w14:textId="77777777" w:rsidR="00C95D95" w:rsidRPr="009C6124" w:rsidRDefault="00C95D95" w:rsidP="00C95D95">
      <w:pPr>
        <w:pStyle w:val="ListParagraph"/>
        <w:spacing w:after="0" w:line="240" w:lineRule="auto"/>
        <w:ind w:left="0"/>
        <w:contextualSpacing w:val="0"/>
        <w:rPr>
          <w:rFonts w:eastAsia="Calibri" w:cs="Times New Roman"/>
          <w:color w:val="0000FF"/>
        </w:rPr>
      </w:pPr>
      <w:r w:rsidRPr="009C6124">
        <w:rPr>
          <w:rFonts w:eastAsia="Calibri" w:cs="Times New Roman"/>
          <w:color w:val="0000FF"/>
          <w:shd w:val="clear" w:color="auto" w:fill="FFFFFF"/>
        </w:rPr>
        <w:t>P</w:t>
      </w:r>
      <w:r w:rsidRPr="009C6124">
        <w:rPr>
          <w:rFonts w:eastAsia="Calibri" w:cs="Times New Roman"/>
          <w:color w:val="0000FF"/>
          <w:shd w:val="clear" w:color="auto" w:fill="FFFFFF"/>
          <w:vertAlign w:val="subscript"/>
        </w:rPr>
        <w:t>e</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11</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10</w:t>
      </w:r>
      <w:r w:rsidRPr="009C6124">
        <w:rPr>
          <w:rFonts w:eastAsia="Calibri" w:cs="Times New Roman"/>
          <w:color w:val="0000FF"/>
          <w:shd w:val="clear" w:color="auto" w:fill="FFFFFF"/>
        </w:rPr>
        <w:t>) * (P</w:t>
      </w:r>
      <w:r w:rsidRPr="009C6124">
        <w:rPr>
          <w:rFonts w:eastAsia="Calibri" w:cs="Times New Roman"/>
          <w:color w:val="0000FF"/>
          <w:shd w:val="clear" w:color="auto" w:fill="FFFFFF"/>
          <w:vertAlign w:val="subscript"/>
        </w:rPr>
        <w:t>11</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01</w:t>
      </w:r>
      <w:r w:rsidRPr="009C6124">
        <w:rPr>
          <w:rFonts w:eastAsia="Calibri" w:cs="Times New Roman"/>
          <w:color w:val="0000FF"/>
          <w:shd w:val="clear" w:color="auto" w:fill="FFFFFF"/>
        </w:rPr>
        <w:t>) + (P</w:t>
      </w:r>
      <w:r w:rsidRPr="009C6124">
        <w:rPr>
          <w:rFonts w:eastAsia="Calibri" w:cs="Times New Roman"/>
          <w:color w:val="0000FF"/>
          <w:shd w:val="clear" w:color="auto" w:fill="FFFFFF"/>
          <w:vertAlign w:val="subscript"/>
        </w:rPr>
        <w:t>00</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10</w:t>
      </w:r>
      <w:r w:rsidRPr="009C6124">
        <w:rPr>
          <w:rFonts w:eastAsia="Calibri" w:cs="Times New Roman"/>
          <w:color w:val="0000FF"/>
          <w:shd w:val="clear" w:color="auto" w:fill="FFFFFF"/>
        </w:rPr>
        <w:t>) * (P</w:t>
      </w:r>
      <w:r w:rsidRPr="009C6124">
        <w:rPr>
          <w:rFonts w:eastAsia="Calibri" w:cs="Times New Roman"/>
          <w:color w:val="0000FF"/>
          <w:shd w:val="clear" w:color="auto" w:fill="FFFFFF"/>
          <w:vertAlign w:val="subscript"/>
        </w:rPr>
        <w:t>00</w:t>
      </w:r>
      <w:r w:rsidRPr="009C6124">
        <w:rPr>
          <w:rFonts w:eastAsia="Calibri" w:cs="Times New Roman"/>
          <w:color w:val="0000FF"/>
          <w:shd w:val="clear" w:color="auto" w:fill="FFFFFF"/>
        </w:rPr>
        <w:t xml:space="preserve"> + P</w:t>
      </w:r>
      <w:r w:rsidRPr="009C6124">
        <w:rPr>
          <w:rFonts w:eastAsia="Calibri" w:cs="Times New Roman"/>
          <w:color w:val="0000FF"/>
          <w:shd w:val="clear" w:color="auto" w:fill="FFFFFF"/>
          <w:vertAlign w:val="subscript"/>
        </w:rPr>
        <w:t>01</w:t>
      </w:r>
      <w:r w:rsidRPr="009C6124">
        <w:rPr>
          <w:rFonts w:eastAsia="Calibri" w:cs="Times New Roman"/>
          <w:color w:val="0000FF"/>
          <w:shd w:val="clear" w:color="auto" w:fill="FFFFFF"/>
        </w:rPr>
        <w:t>)</w:t>
      </w:r>
    </w:p>
    <w:p w14:paraId="58209628" w14:textId="77777777" w:rsidR="00C95D95" w:rsidRDefault="00C95D95" w:rsidP="00C95D95">
      <w:pPr>
        <w:pStyle w:val="ListParagraph"/>
        <w:spacing w:after="0" w:line="240" w:lineRule="auto"/>
        <w:ind w:left="0"/>
        <w:outlineLvl w:val="0"/>
        <w:rPr>
          <w:rFonts w:eastAsia="Calibri" w:cs="Times New Roman"/>
          <w:color w:val="0000FF"/>
          <w:shd w:val="clear" w:color="auto" w:fill="FFFFFF"/>
        </w:rPr>
      </w:pPr>
    </w:p>
    <w:p w14:paraId="752D6188" w14:textId="77777777" w:rsidR="00C95D95" w:rsidRPr="009C6124" w:rsidRDefault="00C95D95" w:rsidP="00C95D95">
      <w:pPr>
        <w:pStyle w:val="ListParagraph"/>
        <w:spacing w:after="0" w:line="240" w:lineRule="auto"/>
        <w:ind w:left="0"/>
        <w:outlineLvl w:val="0"/>
        <w:rPr>
          <w:rFonts w:eastAsia="Calibri" w:cs="Times New Roman"/>
          <w:color w:val="0000FF"/>
        </w:rPr>
      </w:pPr>
      <w:r w:rsidRPr="009C6124">
        <w:rPr>
          <w:rFonts w:eastAsia="Calibri" w:cs="Times New Roman"/>
          <w:color w:val="0000FF"/>
          <w:shd w:val="clear" w:color="auto" w:fill="FFFFFF"/>
        </w:rPr>
        <w:t>Kappa is reported as aggregate across facilities.</w:t>
      </w:r>
    </w:p>
    <w:p w14:paraId="690398E9" w14:textId="77777777" w:rsidR="00C95D95" w:rsidRPr="009C6124" w:rsidRDefault="00C95D95" w:rsidP="00C95D95">
      <w:pPr>
        <w:pStyle w:val="ListParagraph"/>
        <w:spacing w:after="0" w:line="240" w:lineRule="auto"/>
        <w:ind w:left="0"/>
        <w:jc w:val="center"/>
        <w:outlineLvl w:val="0"/>
        <w:rPr>
          <w:rFonts w:eastAsia="Calibri" w:cs="Times New Roman"/>
          <w:color w:val="0000FF"/>
        </w:rPr>
      </w:pPr>
      <w:r w:rsidRPr="009C6124">
        <w:rPr>
          <w:rFonts w:eastAsia="Calibri" w:cs="Times New Roman"/>
          <w:color w:val="0000FF"/>
          <w:shd w:val="clear" w:color="auto" w:fill="FFFFFF"/>
        </w:rPr>
        <w:t xml:space="preserve">Pooled Kappa = </w:t>
      </w:r>
      <m:oMath>
        <m:f>
          <m:fPr>
            <m:ctrlPr>
              <w:rPr>
                <w:rFonts w:ascii="Cambria Math" w:hAnsi="Cambria Math" w:cs="Times New Roman"/>
                <w:i/>
                <w:color w:val="0000FF"/>
                <w:shd w:val="clear" w:color="auto" w:fill="FFFFFF"/>
              </w:rPr>
            </m:ctrlPr>
          </m:fPr>
          <m:num>
            <m:sSub>
              <m:sSubPr>
                <m:ctrlPr>
                  <w:rPr>
                    <w:rFonts w:ascii="Cambria Math" w:hAnsi="Cambria Math" w:cs="Times New Roman"/>
                    <w:i/>
                    <w:color w:val="0000FF"/>
                    <w:shd w:val="clear" w:color="auto" w:fill="FFFFFF"/>
                  </w:rPr>
                </m:ctrlPr>
              </m:sSubPr>
              <m:e>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o</m:t>
                </m:r>
              </m:sub>
            </m:sSub>
            <m:sSub>
              <m:sSubPr>
                <m:ctrlPr>
                  <w:rPr>
                    <w:rFonts w:ascii="Cambria Math" w:hAnsi="Cambria Math" w:cs="Times New Roman"/>
                    <w:i/>
                    <w:color w:val="0000FF"/>
                    <w:shd w:val="clear" w:color="auto" w:fill="FFFFFF"/>
                  </w:rPr>
                </m:ctrlPr>
              </m:sSubPr>
              <m:e>
                <m:r>
                  <w:rPr>
                    <w:rFonts w:ascii="Cambria Math" w:hAnsi="Cambria Math" w:cs="Times New Roman"/>
                    <w:color w:val="0000FF"/>
                    <w:shd w:val="clear" w:color="auto" w:fill="FFFFFF"/>
                  </w:rPr>
                  <m:t>-</m:t>
                </m:r>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e</m:t>
                </m:r>
              </m:sub>
            </m:sSub>
          </m:num>
          <m:den>
            <m:r>
              <w:rPr>
                <w:rFonts w:ascii="Cambria Math" w:hAnsi="Cambria Math" w:cs="Times New Roman"/>
                <w:color w:val="0000FF"/>
                <w:shd w:val="clear" w:color="auto" w:fill="FFFFFF"/>
              </w:rPr>
              <m:t>1-</m:t>
            </m:r>
            <m:sSub>
              <m:sSubPr>
                <m:ctrlPr>
                  <w:rPr>
                    <w:rFonts w:ascii="Cambria Math" w:hAnsi="Cambria Math" w:cs="Times New Roman"/>
                    <w:i/>
                    <w:color w:val="0000FF"/>
                    <w:shd w:val="clear" w:color="auto" w:fill="FFFFFF"/>
                  </w:rPr>
                </m:ctrlPr>
              </m:sSubPr>
              <m:e>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e</m:t>
                </m:r>
              </m:sub>
            </m:sSub>
          </m:den>
        </m:f>
      </m:oMath>
    </w:p>
    <w:p w14:paraId="4A0E223F" w14:textId="77777777" w:rsidR="00C95D95" w:rsidRDefault="00C95D95" w:rsidP="00C95D95">
      <w:pPr>
        <w:autoSpaceDE w:val="0"/>
        <w:autoSpaceDN w:val="0"/>
        <w:adjustRightInd w:val="0"/>
        <w:spacing w:after="0" w:line="240" w:lineRule="auto"/>
        <w:rPr>
          <w:rFonts w:eastAsia="Calibri" w:cs="Times New Roman"/>
          <w:color w:val="0000FF"/>
          <w:shd w:val="clear" w:color="auto" w:fill="FFFFFF"/>
        </w:rPr>
      </w:pPr>
    </w:p>
    <w:p w14:paraId="1B44B18B" w14:textId="77777777" w:rsidR="00C95D95" w:rsidRDefault="00C95D95" w:rsidP="00C95D95">
      <w:pPr>
        <w:autoSpaceDE w:val="0"/>
        <w:autoSpaceDN w:val="0"/>
        <w:adjustRightInd w:val="0"/>
        <w:spacing w:after="0" w:line="240" w:lineRule="auto"/>
        <w:rPr>
          <w:rFonts w:cstheme="minorHAnsi"/>
          <w:bCs/>
          <w:u w:val="single"/>
        </w:rPr>
      </w:pPr>
      <w:r w:rsidRPr="009C6124">
        <w:rPr>
          <w:rFonts w:eastAsia="Calibri" w:cs="Times New Roman"/>
          <w:color w:val="0000FF"/>
          <w:shd w:val="clear" w:color="auto" w:fill="FFFFFF"/>
        </w:rPr>
        <w:t xml:space="preserve">In which </w:t>
      </w:r>
      <m:oMath>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oMath>
      <w:r w:rsidRPr="009C6124">
        <w:rPr>
          <w:rFonts w:eastAsia="Calibri" w:cs="Times New Roman"/>
          <w:color w:val="0000FF"/>
          <w:shd w:val="clear" w:color="auto" w:fill="FFFFFF"/>
          <w:vertAlign w:val="subscript"/>
        </w:rPr>
        <w:t>o</w:t>
      </w:r>
      <w:r w:rsidRPr="009C6124">
        <w:rPr>
          <w:rFonts w:eastAsia="Calibri" w:cs="Times New Roman"/>
          <w:color w:val="0000FF"/>
          <w:shd w:val="clear" w:color="auto" w:fill="FFFFFF"/>
        </w:rPr>
        <w:t xml:space="preserve"> is the mean of the P</w:t>
      </w:r>
      <w:r w:rsidRPr="009C6124">
        <w:rPr>
          <w:rFonts w:eastAsia="Calibri" w:cs="Times New Roman"/>
          <w:color w:val="0000FF"/>
          <w:shd w:val="clear" w:color="auto" w:fill="FFFFFF"/>
          <w:vertAlign w:val="subscript"/>
        </w:rPr>
        <w:t>o</w:t>
      </w:r>
      <w:r w:rsidRPr="009C6124">
        <w:rPr>
          <w:rFonts w:eastAsia="Calibri" w:cs="Times New Roman"/>
          <w:color w:val="0000FF"/>
          <w:shd w:val="clear" w:color="auto" w:fill="FFFFFF"/>
        </w:rPr>
        <w:t xml:space="preserve">s and </w:t>
      </w:r>
      <m:oMath>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oMath>
      <w:r w:rsidRPr="009C6124">
        <w:rPr>
          <w:rFonts w:eastAsia="Calibri" w:cs="Times New Roman"/>
          <w:color w:val="0000FF"/>
          <w:shd w:val="clear" w:color="auto" w:fill="FFFFFF"/>
          <w:vertAlign w:val="subscript"/>
        </w:rPr>
        <w:t>e</w:t>
      </w:r>
      <w:r w:rsidRPr="009C6124">
        <w:rPr>
          <w:rFonts w:eastAsia="Calibri" w:cs="Times New Roman"/>
          <w:color w:val="0000FF"/>
          <w:shd w:val="clear" w:color="auto" w:fill="FFFFFF"/>
        </w:rPr>
        <w:t xml:space="preserve"> is the mean of the P</w:t>
      </w:r>
      <w:r w:rsidRPr="009C6124">
        <w:rPr>
          <w:rFonts w:eastAsia="Calibri" w:cs="Times New Roman"/>
          <w:color w:val="0000FF"/>
          <w:shd w:val="clear" w:color="auto" w:fill="FFFFFF"/>
          <w:vertAlign w:val="subscript"/>
        </w:rPr>
        <w:t>e</w:t>
      </w:r>
      <w:r w:rsidRPr="009C6124">
        <w:rPr>
          <w:rFonts w:eastAsia="Calibri" w:cs="Times New Roman"/>
          <w:color w:val="0000FF"/>
          <w:shd w:val="clear" w:color="auto" w:fill="FFFFFF"/>
        </w:rPr>
        <w:t xml:space="preserve">s across the nine IPFs. The 95% confidence interval of the pooled kappa is K </w:t>
      </w:r>
      <w:r w:rsidRPr="009C6124">
        <w:rPr>
          <w:rFonts w:cs="Times New Roman"/>
          <w:color w:val="0000FF"/>
          <w:shd w:val="clear" w:color="auto" w:fill="FFFFFF"/>
        </w:rPr>
        <w:sym w:font="Symbol" w:char="F0B1"/>
      </w:r>
      <w:r w:rsidRPr="009C6124">
        <w:rPr>
          <w:rFonts w:eastAsia="Calibri" w:cs="Times New Roman"/>
          <w:color w:val="0000FF"/>
          <w:shd w:val="clear" w:color="auto" w:fill="FFFFFF"/>
        </w:rPr>
        <w:t xml:space="preserve"> 1.96*SE</w:t>
      </w:r>
      <w:r w:rsidRPr="009C6124">
        <w:rPr>
          <w:rFonts w:eastAsia="Calibri" w:cs="Times New Roman"/>
          <w:color w:val="0000FF"/>
          <w:shd w:val="clear" w:color="auto" w:fill="FFFFFF"/>
          <w:vertAlign w:val="subscript"/>
        </w:rPr>
        <w:t>k</w:t>
      </w:r>
      <w:r w:rsidRPr="009C6124">
        <w:rPr>
          <w:rFonts w:eastAsia="Calibri" w:cs="Times New Roman"/>
          <w:color w:val="0000FF"/>
          <w:shd w:val="clear" w:color="auto" w:fill="FFFFFF"/>
        </w:rPr>
        <w:t>, in which S</w:t>
      </w:r>
      <w:r w:rsidRPr="009C6124">
        <w:rPr>
          <w:rFonts w:eastAsia="Calibri" w:cs="Times New Roman"/>
          <w:color w:val="0000FF"/>
          <w:shd w:val="clear" w:color="auto" w:fill="FFFFFF"/>
          <w:vertAlign w:val="subscript"/>
        </w:rPr>
        <w:t>e</w:t>
      </w:r>
      <w:r w:rsidRPr="009C6124">
        <w:rPr>
          <w:rFonts w:eastAsia="Calibri" w:cs="Times New Roman"/>
          <w:color w:val="0000FF"/>
          <w:shd w:val="clear" w:color="auto" w:fill="FFFFFF"/>
        </w:rPr>
        <w:t xml:space="preserve"> =</w:t>
      </w:r>
      <w:r w:rsidRPr="009C6124">
        <w:rPr>
          <w:rFonts w:eastAsia="Calibri" w:cs="Times New Roman"/>
          <w:color w:val="0000FF"/>
          <w:shd w:val="clear" w:color="auto" w:fill="FFFFFF"/>
        </w:rPr>
        <w:br/>
      </w:r>
      <m:oMathPara>
        <m:oMath>
          <m:rad>
            <m:radPr>
              <m:degHide m:val="1"/>
              <m:ctrlPr>
                <w:rPr>
                  <w:rFonts w:ascii="Cambria Math" w:hAnsi="Cambria Math" w:cs="Times New Roman"/>
                  <w:i/>
                  <w:color w:val="0000FF"/>
                  <w:shd w:val="clear" w:color="auto" w:fill="FFFFFF"/>
                </w:rPr>
              </m:ctrlPr>
            </m:radPr>
            <m:deg/>
            <m:e>
              <m:f>
                <m:fPr>
                  <m:ctrlPr>
                    <w:rPr>
                      <w:rFonts w:ascii="Cambria Math" w:hAnsi="Cambria Math" w:cs="Times New Roman"/>
                      <w:i/>
                      <w:color w:val="0000FF"/>
                      <w:shd w:val="clear" w:color="auto" w:fill="FFFFFF"/>
                    </w:rPr>
                  </m:ctrlPr>
                </m:fPr>
                <m:num>
                  <m:sSub>
                    <m:sSubPr>
                      <m:ctrlPr>
                        <w:rPr>
                          <w:rFonts w:ascii="Cambria Math" w:hAnsi="Cambria Math" w:cs="Times New Roman"/>
                          <w:i/>
                          <w:color w:val="0000FF"/>
                          <w:shd w:val="clear" w:color="auto" w:fill="FFFFFF"/>
                        </w:rPr>
                      </m:ctrlPr>
                    </m:sSubPr>
                    <m:e>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o</m:t>
                      </m:r>
                    </m:sub>
                  </m:sSub>
                  <m:r>
                    <w:rPr>
                      <w:rFonts w:ascii="Cambria Math" w:hAnsi="Cambria Math" w:cs="Times New Roman"/>
                      <w:color w:val="0000FF"/>
                      <w:shd w:val="clear" w:color="auto" w:fill="FFFFFF"/>
                    </w:rPr>
                    <m:t>(1-</m:t>
                  </m:r>
                  <m:sSub>
                    <m:sSubPr>
                      <m:ctrlPr>
                        <w:rPr>
                          <w:rFonts w:ascii="Cambria Math" w:hAnsi="Cambria Math" w:cs="Times New Roman"/>
                          <w:i/>
                          <w:color w:val="0000FF"/>
                          <w:shd w:val="clear" w:color="auto" w:fill="FFFFFF"/>
                        </w:rPr>
                      </m:ctrlPr>
                    </m:sSubPr>
                    <m:e>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o</m:t>
                      </m:r>
                    </m:sub>
                  </m:sSub>
                  <m:r>
                    <w:rPr>
                      <w:rFonts w:ascii="Cambria Math" w:hAnsi="Cambria Math" w:cs="Times New Roman"/>
                      <w:color w:val="0000FF"/>
                      <w:shd w:val="clear" w:color="auto" w:fill="FFFFFF"/>
                    </w:rPr>
                    <m:t>)</m:t>
                  </m:r>
                </m:num>
                <m:den>
                  <m:r>
                    <w:rPr>
                      <w:rFonts w:ascii="Cambria Math" w:hAnsi="Cambria Math" w:cs="Times New Roman"/>
                      <w:color w:val="0000FF"/>
                      <w:shd w:val="clear" w:color="auto" w:fill="FFFFFF"/>
                    </w:rPr>
                    <m:t xml:space="preserve">n * </m:t>
                  </m:r>
                  <m:sSup>
                    <m:sSupPr>
                      <m:ctrlPr>
                        <w:rPr>
                          <w:rFonts w:ascii="Cambria Math" w:hAnsi="Cambria Math" w:cs="Times New Roman"/>
                          <w:i/>
                          <w:color w:val="0000FF"/>
                          <w:shd w:val="clear" w:color="auto" w:fill="FFFFFF"/>
                        </w:rPr>
                      </m:ctrlPr>
                    </m:sSupPr>
                    <m:e>
                      <m:r>
                        <w:rPr>
                          <w:rFonts w:ascii="Cambria Math" w:hAnsi="Cambria Math" w:cs="Times New Roman"/>
                          <w:color w:val="0000FF"/>
                          <w:shd w:val="clear" w:color="auto" w:fill="FFFFFF"/>
                        </w:rPr>
                        <m:t>(1-</m:t>
                      </m:r>
                      <m:sSub>
                        <m:sSubPr>
                          <m:ctrlPr>
                            <w:rPr>
                              <w:rFonts w:ascii="Cambria Math" w:hAnsi="Cambria Math" w:cs="Times New Roman"/>
                              <w:i/>
                              <w:color w:val="0000FF"/>
                              <w:shd w:val="clear" w:color="auto" w:fill="FFFFFF"/>
                            </w:rPr>
                          </m:ctrlPr>
                        </m:sSubPr>
                        <m:e>
                          <m:acc>
                            <m:accPr>
                              <m:chr m:val="̅"/>
                              <m:ctrlPr>
                                <w:rPr>
                                  <w:rFonts w:ascii="Cambria Math" w:hAnsi="Cambria Math" w:cs="Times New Roman"/>
                                  <w:i/>
                                  <w:color w:val="0000FF"/>
                                  <w:shd w:val="clear" w:color="auto" w:fill="FFFFFF"/>
                                </w:rPr>
                              </m:ctrlPr>
                            </m:accPr>
                            <m:e>
                              <m:r>
                                <w:rPr>
                                  <w:rFonts w:ascii="Cambria Math" w:hAnsi="Cambria Math" w:cs="Times New Roman"/>
                                  <w:color w:val="0000FF"/>
                                  <w:shd w:val="clear" w:color="auto" w:fill="FFFFFF"/>
                                </w:rPr>
                                <m:t>p</m:t>
                              </m:r>
                            </m:e>
                          </m:acc>
                        </m:e>
                        <m:sub>
                          <m:r>
                            <w:rPr>
                              <w:rFonts w:ascii="Cambria Math" w:hAnsi="Cambria Math" w:cs="Times New Roman"/>
                              <w:color w:val="0000FF"/>
                              <w:shd w:val="clear" w:color="auto" w:fill="FFFFFF"/>
                            </w:rPr>
                            <m:t>e</m:t>
                          </m:r>
                        </m:sub>
                      </m:sSub>
                      <m:r>
                        <w:rPr>
                          <w:rFonts w:ascii="Cambria Math" w:hAnsi="Cambria Math" w:cs="Times New Roman"/>
                          <w:color w:val="0000FF"/>
                          <w:shd w:val="clear" w:color="auto" w:fill="FFFFFF"/>
                        </w:rPr>
                        <m:t>)</m:t>
                      </m:r>
                    </m:e>
                    <m:sup>
                      <m:r>
                        <w:rPr>
                          <w:rFonts w:ascii="Cambria Math" w:hAnsi="Cambria Math" w:cs="Times New Roman"/>
                          <w:color w:val="0000FF"/>
                          <w:shd w:val="clear" w:color="auto" w:fill="FFFFFF"/>
                        </w:rPr>
                        <m:t>2</m:t>
                      </m:r>
                    </m:sup>
                  </m:sSup>
                </m:den>
              </m:f>
            </m:e>
          </m:rad>
          <m:r>
            <m:rPr>
              <m:sty m:val="p"/>
            </m:rPr>
            <w:rPr>
              <w:rFonts w:eastAsia="Calibri" w:cs="Times New Roman"/>
              <w:color w:val="0000FF"/>
              <w:shd w:val="clear" w:color="auto" w:fill="FFFFFF"/>
            </w:rPr>
            <w:br/>
          </m:r>
        </m:oMath>
      </m:oMathPara>
    </w:p>
    <w:p w14:paraId="355BCF21" w14:textId="77777777" w:rsidR="00C95D95" w:rsidRPr="00451083" w:rsidRDefault="00C95D95" w:rsidP="00C95D95">
      <w:pPr>
        <w:pStyle w:val="ListParagraph"/>
        <w:spacing w:after="0" w:line="240" w:lineRule="auto"/>
        <w:ind w:left="0"/>
        <w:outlineLvl w:val="0"/>
        <w:rPr>
          <w:b/>
          <w:bCs/>
          <w:color w:val="0000FF"/>
        </w:rPr>
      </w:pPr>
      <w:r w:rsidRPr="15B07BB9">
        <w:rPr>
          <w:b/>
          <w:bCs/>
          <w:color w:val="0000FF"/>
        </w:rPr>
        <w:t>Performance Measure Score Reliability</w:t>
      </w:r>
    </w:p>
    <w:p w14:paraId="1E25F038" w14:textId="77777777" w:rsidR="00C95D95" w:rsidRPr="00A56E5A" w:rsidRDefault="00C95D95" w:rsidP="00C95D95">
      <w:pPr>
        <w:autoSpaceDE w:val="0"/>
        <w:autoSpaceDN w:val="0"/>
        <w:adjustRightInd w:val="0"/>
        <w:spacing w:after="0" w:line="240" w:lineRule="auto"/>
        <w:rPr>
          <w:color w:val="0000FF"/>
        </w:rPr>
      </w:pPr>
      <w:r w:rsidRPr="00A56E5A">
        <w:rPr>
          <w:color w:val="0000FF"/>
        </w:rPr>
        <w:t xml:space="preserve">The following formula to calculate the reliability of the score for each IPF, reflecting a signal-to-noise ratio. </w:t>
      </w:r>
    </w:p>
    <w:p w14:paraId="307D55E8" w14:textId="77777777" w:rsidR="00C95D95" w:rsidRPr="00A56E5A" w:rsidRDefault="00C95D95" w:rsidP="00C95D95">
      <w:pPr>
        <w:autoSpaceDE w:val="0"/>
        <w:autoSpaceDN w:val="0"/>
        <w:adjustRightInd w:val="0"/>
        <w:spacing w:after="0" w:line="240" w:lineRule="auto"/>
        <w:rPr>
          <w:rFonts w:cstheme="minorHAnsi"/>
          <w:bCs/>
          <w:color w:val="0000FF"/>
        </w:rPr>
      </w:pPr>
      <m:oMathPara>
        <m:oMath>
          <m:r>
            <w:rPr>
              <w:rFonts w:ascii="Cambria Math" w:hAnsi="Cambria Math" w:cstheme="minorHAnsi"/>
              <w:color w:val="0000FF"/>
            </w:rPr>
            <m:t xml:space="preserve">Reliability= </m:t>
          </m:r>
          <m:f>
            <m:fPr>
              <m:ctrlPr>
                <w:rPr>
                  <w:rFonts w:ascii="Cambria Math" w:hAnsi="Cambria Math" w:cstheme="minorHAnsi"/>
                  <w:bCs/>
                  <w:i/>
                  <w:color w:val="0000FF"/>
                </w:rPr>
              </m:ctrlPr>
            </m:fPr>
            <m:num>
              <m:sSubSup>
                <m:sSubSupPr>
                  <m:ctrlPr>
                    <w:rPr>
                      <w:rFonts w:ascii="Cambria Math" w:hAnsi="Cambria Math" w:cstheme="minorHAnsi"/>
                      <w:bCs/>
                      <w:i/>
                      <w:color w:val="0000FF"/>
                    </w:rPr>
                  </m:ctrlPr>
                </m:sSubSupPr>
                <m:e>
                  <m:r>
                    <w:rPr>
                      <w:rFonts w:ascii="Cambria Math" w:hAnsi="Cambria Math" w:cstheme="minorHAnsi"/>
                      <w:color w:val="0000FF"/>
                    </w:rPr>
                    <m:t>σ</m:t>
                  </m:r>
                </m:e>
                <m:sub>
                  <m:r>
                    <w:rPr>
                      <w:rFonts w:ascii="Cambria Math" w:hAnsi="Cambria Math" w:cstheme="minorHAnsi"/>
                      <w:color w:val="0000FF"/>
                    </w:rPr>
                    <m:t>Between-IPFs</m:t>
                  </m:r>
                </m:sub>
                <m:sup>
                  <m:r>
                    <w:rPr>
                      <w:rFonts w:ascii="Cambria Math" w:hAnsi="Cambria Math" w:cstheme="minorHAnsi"/>
                      <w:color w:val="0000FF"/>
                    </w:rPr>
                    <m:t>2</m:t>
                  </m:r>
                </m:sup>
              </m:sSubSup>
            </m:num>
            <m:den>
              <m:sSubSup>
                <m:sSubSupPr>
                  <m:ctrlPr>
                    <w:rPr>
                      <w:rFonts w:ascii="Cambria Math" w:hAnsi="Cambria Math" w:cstheme="minorHAnsi"/>
                      <w:bCs/>
                      <w:i/>
                      <w:color w:val="0000FF"/>
                    </w:rPr>
                  </m:ctrlPr>
                </m:sSubSupPr>
                <m:e>
                  <m:r>
                    <w:rPr>
                      <w:rFonts w:ascii="Cambria Math" w:hAnsi="Cambria Math" w:cstheme="minorHAnsi"/>
                      <w:color w:val="0000FF"/>
                    </w:rPr>
                    <m:t>σ</m:t>
                  </m:r>
                </m:e>
                <m:sub>
                  <m:r>
                    <w:rPr>
                      <w:rFonts w:ascii="Cambria Math" w:hAnsi="Cambria Math" w:cstheme="minorHAnsi"/>
                      <w:color w:val="0000FF"/>
                    </w:rPr>
                    <m:t>Between-IPFs</m:t>
                  </m:r>
                </m:sub>
                <m:sup>
                  <m:r>
                    <w:rPr>
                      <w:rFonts w:ascii="Cambria Math" w:hAnsi="Cambria Math" w:cstheme="minorHAnsi"/>
                      <w:color w:val="0000FF"/>
                    </w:rPr>
                    <m:t>2</m:t>
                  </m:r>
                </m:sup>
              </m:sSubSup>
              <m:r>
                <w:rPr>
                  <w:rFonts w:ascii="Cambria Math" w:hAnsi="Cambria Math" w:cstheme="minorHAnsi"/>
                  <w:color w:val="0000FF"/>
                </w:rPr>
                <m:t>+</m:t>
              </m:r>
              <m:sSubSup>
                <m:sSubSupPr>
                  <m:ctrlPr>
                    <w:rPr>
                      <w:rFonts w:ascii="Cambria Math" w:hAnsi="Cambria Math" w:cstheme="minorHAnsi"/>
                      <w:bCs/>
                      <w:i/>
                      <w:color w:val="0000FF"/>
                    </w:rPr>
                  </m:ctrlPr>
                </m:sSubSupPr>
                <m:e>
                  <m:r>
                    <w:rPr>
                      <w:rFonts w:ascii="Cambria Math" w:hAnsi="Cambria Math" w:cstheme="minorHAnsi"/>
                      <w:color w:val="0000FF"/>
                    </w:rPr>
                    <m:t>σ</m:t>
                  </m:r>
                </m:e>
                <m:sub>
                  <m:r>
                    <w:rPr>
                      <w:rFonts w:ascii="Cambria Math" w:hAnsi="Cambria Math" w:cstheme="minorHAnsi"/>
                      <w:color w:val="0000FF"/>
                    </w:rPr>
                    <m:t>Within-IPFs</m:t>
                  </m:r>
                </m:sub>
                <m:sup>
                  <m:r>
                    <w:rPr>
                      <w:rFonts w:ascii="Cambria Math" w:hAnsi="Cambria Math" w:cstheme="minorHAnsi"/>
                      <w:color w:val="0000FF"/>
                    </w:rPr>
                    <m:t>2</m:t>
                  </m:r>
                </m:sup>
              </m:sSubSup>
            </m:den>
          </m:f>
        </m:oMath>
      </m:oMathPara>
    </w:p>
    <w:p w14:paraId="0CABCFD2" w14:textId="53557CA6" w:rsidR="008C54A9" w:rsidRPr="00A25024" w:rsidRDefault="00C95D95" w:rsidP="00C95D95">
      <w:pPr>
        <w:autoSpaceDE w:val="0"/>
        <w:autoSpaceDN w:val="0"/>
        <w:adjustRightInd w:val="0"/>
        <w:spacing w:after="0" w:line="240" w:lineRule="auto"/>
        <w:rPr>
          <w:rFonts w:cstheme="minorHAnsi"/>
          <w:bCs/>
        </w:rPr>
      </w:pPr>
      <w:r w:rsidRPr="00A56E5A">
        <w:rPr>
          <w:color w:val="0000FF"/>
        </w:rPr>
        <w:t xml:space="preserve">In which </w:t>
      </w:r>
      <m:oMath>
        <m:sSubSup>
          <m:sSubSupPr>
            <m:ctrlPr>
              <w:rPr>
                <w:rFonts w:ascii="Cambria Math" w:hAnsi="Cambria Math" w:cstheme="minorHAnsi"/>
                <w:bCs/>
                <w:i/>
                <w:color w:val="0000FF"/>
              </w:rPr>
            </m:ctrlPr>
          </m:sSubSupPr>
          <m:e>
            <m:r>
              <w:rPr>
                <w:rFonts w:ascii="Cambria Math" w:hAnsi="Cambria Math" w:cstheme="minorHAnsi"/>
                <w:color w:val="0000FF"/>
              </w:rPr>
              <m:t>σ</m:t>
            </m:r>
          </m:e>
          <m:sub>
            <m:r>
              <w:rPr>
                <w:rFonts w:ascii="Cambria Math" w:hAnsi="Cambria Math" w:cstheme="minorHAnsi"/>
                <w:color w:val="0000FF"/>
              </w:rPr>
              <m:t>Between-IPFs</m:t>
            </m:r>
          </m:sub>
          <m:sup>
            <m:r>
              <w:rPr>
                <w:rFonts w:ascii="Cambria Math" w:hAnsi="Cambria Math" w:cstheme="minorHAnsi"/>
                <w:color w:val="0000FF"/>
              </w:rPr>
              <m:t>2</m:t>
            </m:r>
          </m:sup>
        </m:sSubSup>
      </m:oMath>
      <w:r w:rsidRPr="00A56E5A">
        <w:rPr>
          <w:color w:val="0000FF"/>
        </w:rPr>
        <w:t xml:space="preserve"> is the variance of scores between IPFs and </w:t>
      </w:r>
      <m:oMath>
        <m:sSubSup>
          <m:sSubSupPr>
            <m:ctrlPr>
              <w:rPr>
                <w:rFonts w:ascii="Cambria Math" w:hAnsi="Cambria Math" w:cstheme="minorHAnsi"/>
                <w:bCs/>
                <w:i/>
                <w:color w:val="0000FF"/>
              </w:rPr>
            </m:ctrlPr>
          </m:sSubSupPr>
          <m:e>
            <m:r>
              <w:rPr>
                <w:rFonts w:ascii="Cambria Math" w:hAnsi="Cambria Math" w:cstheme="minorHAnsi"/>
                <w:color w:val="0000FF"/>
              </w:rPr>
              <m:t>σ</m:t>
            </m:r>
          </m:e>
          <m:sub>
            <m:r>
              <w:rPr>
                <w:rFonts w:ascii="Cambria Math" w:hAnsi="Cambria Math" w:cstheme="minorHAnsi"/>
                <w:color w:val="0000FF"/>
              </w:rPr>
              <m:t>Within-IPFs</m:t>
            </m:r>
          </m:sub>
          <m:sup>
            <m:r>
              <w:rPr>
                <w:rFonts w:ascii="Cambria Math" w:hAnsi="Cambria Math" w:cstheme="minorHAnsi"/>
                <w:color w:val="0000FF"/>
              </w:rPr>
              <m:t>2</m:t>
            </m:r>
          </m:sup>
        </m:sSubSup>
      </m:oMath>
      <w:r w:rsidRPr="00A56E5A">
        <w:rPr>
          <w:color w:val="0000FF"/>
        </w:rPr>
        <w:t xml:space="preserve"> is the variance within IPFs.</w:t>
      </w:r>
    </w:p>
    <w:p w14:paraId="048E5CA5" w14:textId="77777777" w:rsidR="00C95D95" w:rsidRDefault="00C95D95" w:rsidP="008C54A9">
      <w:pPr>
        <w:autoSpaceDE w:val="0"/>
        <w:autoSpaceDN w:val="0"/>
        <w:adjustRightInd w:val="0"/>
        <w:spacing w:after="0" w:line="240" w:lineRule="auto"/>
        <w:rPr>
          <w:rFonts w:cstheme="minorHAnsi"/>
          <w:b/>
          <w:bCs/>
        </w:rPr>
      </w:pPr>
    </w:p>
    <w:p w14:paraId="08A59DAC" w14:textId="13392F90" w:rsidR="00A11710" w:rsidRDefault="00092566" w:rsidP="00A11710">
      <w:pPr>
        <w:autoSpaceDE w:val="0"/>
        <w:autoSpaceDN w:val="0"/>
        <w:adjustRightInd w:val="0"/>
        <w:spacing w:after="0" w:line="240" w:lineRule="auto"/>
        <w:rPr>
          <w:rFonts w:eastAsia="SimSun" w:cs="Times New Roman"/>
          <w:b/>
          <w:bCs/>
          <w:color w:val="000000" w:themeColor="text1"/>
          <w:sz w:val="20"/>
          <w:szCs w:val="2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bookmarkStart w:id="35" w:name="_Ref478136293"/>
      <w:bookmarkStart w:id="36" w:name="_Ref474844705"/>
      <w:bookmarkStart w:id="37" w:name="_Toc478140194"/>
      <w:bookmarkStart w:id="38" w:name="_Toc485898271"/>
      <w:bookmarkStart w:id="39" w:name="_Toc486419632"/>
      <w:bookmarkStart w:id="40" w:name="_Toc487097904"/>
      <w:bookmarkStart w:id="41" w:name="_Toc487104015"/>
      <w:bookmarkStart w:id="42" w:name="_Toc487793028"/>
      <w:bookmarkStart w:id="43" w:name="_Toc490226706"/>
      <w:bookmarkEnd w:id="35"/>
    </w:p>
    <w:p w14:paraId="5E817A47" w14:textId="7E6D3EFD" w:rsidR="00E14F7E" w:rsidRPr="00A11710" w:rsidRDefault="001C4CF9" w:rsidP="00F86BC0">
      <w:pPr>
        <w:autoSpaceDE w:val="0"/>
        <w:autoSpaceDN w:val="0"/>
        <w:adjustRightInd w:val="0"/>
        <w:spacing w:before="120" w:after="0" w:line="240" w:lineRule="auto"/>
        <w:rPr>
          <w:rFonts w:eastAsia="SimSun" w:cs="Times New Roman"/>
          <w:b/>
          <w:bCs/>
          <w:color w:val="000000" w:themeColor="text1"/>
          <w:sz w:val="20"/>
          <w:szCs w:val="20"/>
        </w:rPr>
      </w:pPr>
      <w:r w:rsidRPr="00A11710">
        <w:rPr>
          <w:rFonts w:eastAsia="SimSun" w:cs="Times New Roman"/>
          <w:b/>
          <w:bCs/>
          <w:color w:val="000000" w:themeColor="text1"/>
          <w:sz w:val="20"/>
          <w:szCs w:val="20"/>
        </w:rPr>
        <w:t>Table 2a2.3-A</w:t>
      </w:r>
      <w:r w:rsidR="00E14F7E" w:rsidRPr="00A11710">
        <w:rPr>
          <w:rFonts w:eastAsia="SimSun" w:cs="Times New Roman"/>
          <w:b/>
          <w:bCs/>
          <w:color w:val="000000" w:themeColor="text1"/>
          <w:sz w:val="20"/>
          <w:szCs w:val="20"/>
        </w:rPr>
        <w:t xml:space="preserve"> Percent of Agreement and Cohen’s Kappa for Measure Score Data Elements</w:t>
      </w:r>
      <w:bookmarkEnd w:id="36"/>
      <w:bookmarkEnd w:id="37"/>
      <w:bookmarkEnd w:id="38"/>
      <w:bookmarkEnd w:id="39"/>
      <w:bookmarkEnd w:id="40"/>
      <w:bookmarkEnd w:id="41"/>
      <w:bookmarkEnd w:id="42"/>
      <w:bookmarkEnd w:id="43"/>
    </w:p>
    <w:tbl>
      <w:tblPr>
        <w:tblStyle w:val="TableGrid"/>
        <w:tblW w:w="5047" w:type="pct"/>
        <w:tblLook w:val="04A0" w:firstRow="1" w:lastRow="0" w:firstColumn="1" w:lastColumn="0" w:noHBand="0" w:noVBand="1"/>
      </w:tblPr>
      <w:tblGrid>
        <w:gridCol w:w="2191"/>
        <w:gridCol w:w="1679"/>
        <w:gridCol w:w="1612"/>
        <w:gridCol w:w="1945"/>
        <w:gridCol w:w="2011"/>
      </w:tblGrid>
      <w:tr w:rsidR="00625D6F" w:rsidRPr="00625D6F" w14:paraId="043AFD2E" w14:textId="77777777" w:rsidTr="00625D6F">
        <w:trPr>
          <w:tblHeader/>
        </w:trPr>
        <w:tc>
          <w:tcPr>
            <w:tcW w:w="0" w:type="pct"/>
            <w:shd w:val="clear" w:color="auto" w:fill="365F91" w:themeFill="accent1" w:themeFillShade="BF"/>
            <w:vAlign w:val="center"/>
          </w:tcPr>
          <w:p w14:paraId="283CD1E2" w14:textId="77777777" w:rsidR="00E14F7E" w:rsidRPr="00625D6F" w:rsidRDefault="00E14F7E" w:rsidP="00625D6F">
            <w:pPr>
              <w:autoSpaceDE w:val="0"/>
              <w:autoSpaceDN w:val="0"/>
              <w:adjustRightInd w:val="0"/>
              <w:jc w:val="center"/>
              <w:rPr>
                <w:b/>
                <w:color w:val="FFFFFF" w:themeColor="background1"/>
                <w:sz w:val="20"/>
                <w:szCs w:val="20"/>
              </w:rPr>
            </w:pPr>
            <w:r w:rsidRPr="00625D6F">
              <w:rPr>
                <w:b/>
                <w:color w:val="FFFFFF" w:themeColor="background1"/>
                <w:sz w:val="20"/>
                <w:szCs w:val="20"/>
              </w:rPr>
              <w:t>Data Element</w:t>
            </w:r>
          </w:p>
        </w:tc>
        <w:tc>
          <w:tcPr>
            <w:tcW w:w="0" w:type="pct"/>
            <w:shd w:val="clear" w:color="auto" w:fill="365F91" w:themeFill="accent1" w:themeFillShade="BF"/>
            <w:vAlign w:val="center"/>
          </w:tcPr>
          <w:p w14:paraId="404C87A5" w14:textId="77777777" w:rsidR="00E14F7E" w:rsidRPr="00625D6F" w:rsidRDefault="00E14F7E" w:rsidP="00625D6F">
            <w:pPr>
              <w:autoSpaceDE w:val="0"/>
              <w:autoSpaceDN w:val="0"/>
              <w:adjustRightInd w:val="0"/>
              <w:jc w:val="center"/>
              <w:rPr>
                <w:b/>
                <w:color w:val="FFFFFF" w:themeColor="background1"/>
                <w:sz w:val="20"/>
                <w:szCs w:val="20"/>
              </w:rPr>
            </w:pPr>
            <w:r w:rsidRPr="00625D6F">
              <w:rPr>
                <w:b/>
                <w:color w:val="FFFFFF" w:themeColor="background1"/>
                <w:kern w:val="24"/>
                <w:sz w:val="20"/>
                <w:szCs w:val="20"/>
              </w:rPr>
              <w:t>All Records</w:t>
            </w:r>
          </w:p>
        </w:tc>
        <w:tc>
          <w:tcPr>
            <w:tcW w:w="0" w:type="pct"/>
            <w:shd w:val="clear" w:color="auto" w:fill="365F91" w:themeFill="accent1" w:themeFillShade="BF"/>
            <w:vAlign w:val="center"/>
          </w:tcPr>
          <w:p w14:paraId="52FC95CA" w14:textId="77777777" w:rsidR="00E14F7E" w:rsidRPr="00625D6F" w:rsidRDefault="00E14F7E" w:rsidP="00625D6F">
            <w:pPr>
              <w:autoSpaceDE w:val="0"/>
              <w:autoSpaceDN w:val="0"/>
              <w:adjustRightInd w:val="0"/>
              <w:jc w:val="center"/>
              <w:rPr>
                <w:b/>
                <w:color w:val="FFFFFF" w:themeColor="background1"/>
                <w:sz w:val="20"/>
                <w:szCs w:val="20"/>
              </w:rPr>
            </w:pPr>
            <w:r w:rsidRPr="00625D6F">
              <w:rPr>
                <w:b/>
                <w:color w:val="FFFFFF" w:themeColor="background1"/>
                <w:kern w:val="24"/>
                <w:sz w:val="20"/>
                <w:szCs w:val="20"/>
              </w:rPr>
              <w:t>Agreed</w:t>
            </w:r>
          </w:p>
        </w:tc>
        <w:tc>
          <w:tcPr>
            <w:tcW w:w="0" w:type="pct"/>
            <w:shd w:val="clear" w:color="auto" w:fill="365F91" w:themeFill="accent1" w:themeFillShade="BF"/>
            <w:vAlign w:val="center"/>
          </w:tcPr>
          <w:p w14:paraId="3F0B3FD9" w14:textId="77777777" w:rsidR="00E14F7E" w:rsidRPr="00625D6F" w:rsidRDefault="00E14F7E" w:rsidP="00625D6F">
            <w:pPr>
              <w:autoSpaceDE w:val="0"/>
              <w:autoSpaceDN w:val="0"/>
              <w:adjustRightInd w:val="0"/>
              <w:jc w:val="center"/>
              <w:rPr>
                <w:b/>
                <w:color w:val="FFFFFF" w:themeColor="background1"/>
                <w:sz w:val="20"/>
                <w:szCs w:val="20"/>
              </w:rPr>
            </w:pPr>
            <w:r w:rsidRPr="00625D6F">
              <w:rPr>
                <w:b/>
                <w:color w:val="FFFFFF" w:themeColor="background1"/>
                <w:kern w:val="24"/>
                <w:sz w:val="20"/>
                <w:szCs w:val="20"/>
              </w:rPr>
              <w:t>% Agreement</w:t>
            </w:r>
          </w:p>
        </w:tc>
        <w:tc>
          <w:tcPr>
            <w:tcW w:w="0" w:type="pct"/>
            <w:shd w:val="clear" w:color="auto" w:fill="365F91" w:themeFill="accent1" w:themeFillShade="BF"/>
            <w:vAlign w:val="center"/>
          </w:tcPr>
          <w:p w14:paraId="2D9D3D07" w14:textId="77777777" w:rsidR="00E14F7E" w:rsidRPr="00625D6F" w:rsidRDefault="00E14F7E" w:rsidP="00625D6F">
            <w:pPr>
              <w:autoSpaceDE w:val="0"/>
              <w:autoSpaceDN w:val="0"/>
              <w:adjustRightInd w:val="0"/>
              <w:jc w:val="center"/>
              <w:rPr>
                <w:rFonts w:eastAsia="Arial" w:cs="Arial"/>
                <w:b/>
                <w:color w:val="FFFFFF" w:themeColor="background1"/>
                <w:sz w:val="20"/>
                <w:szCs w:val="20"/>
              </w:rPr>
            </w:pPr>
            <w:r w:rsidRPr="00625D6F">
              <w:rPr>
                <w:b/>
                <w:color w:val="FFFFFF" w:themeColor="background1"/>
                <w:kern w:val="24"/>
                <w:sz w:val="20"/>
                <w:szCs w:val="20"/>
              </w:rPr>
              <w:t>Cohen’s Kappa (Confidence Interval)</w:t>
            </w:r>
          </w:p>
        </w:tc>
      </w:tr>
      <w:tr w:rsidR="00625D6F" w:rsidRPr="00625D6F" w14:paraId="41952D2C" w14:textId="77777777" w:rsidTr="00AF09FB">
        <w:tc>
          <w:tcPr>
            <w:tcW w:w="0" w:type="pct"/>
            <w:shd w:val="clear" w:color="auto" w:fill="auto"/>
            <w:vAlign w:val="center"/>
          </w:tcPr>
          <w:p w14:paraId="660F73B3" w14:textId="77777777" w:rsidR="00E14F7E" w:rsidRPr="00625D6F" w:rsidRDefault="00E14F7E" w:rsidP="00625D6F">
            <w:pPr>
              <w:autoSpaceDE w:val="0"/>
              <w:autoSpaceDN w:val="0"/>
              <w:adjustRightInd w:val="0"/>
              <w:rPr>
                <w:b/>
                <w:bCs/>
                <w:sz w:val="20"/>
                <w:szCs w:val="20"/>
              </w:rPr>
            </w:pPr>
            <w:r w:rsidRPr="00625D6F">
              <w:rPr>
                <w:b/>
                <w:bCs/>
                <w:sz w:val="20"/>
                <w:szCs w:val="20"/>
              </w:rPr>
              <w:t xml:space="preserve">Designated PTA Medication List </w:t>
            </w:r>
          </w:p>
        </w:tc>
        <w:tc>
          <w:tcPr>
            <w:tcW w:w="0" w:type="pct"/>
            <w:shd w:val="clear" w:color="auto" w:fill="auto"/>
            <w:vAlign w:val="center"/>
          </w:tcPr>
          <w:p w14:paraId="79D67763" w14:textId="77777777" w:rsidR="00E14F7E" w:rsidRPr="00625D6F" w:rsidRDefault="00E14F7E" w:rsidP="00AF09FB">
            <w:pPr>
              <w:autoSpaceDE w:val="0"/>
              <w:autoSpaceDN w:val="0"/>
              <w:adjustRightInd w:val="0"/>
              <w:jc w:val="center"/>
              <w:rPr>
                <w:sz w:val="20"/>
                <w:szCs w:val="20"/>
              </w:rPr>
            </w:pPr>
            <w:r w:rsidRPr="00625D6F">
              <w:rPr>
                <w:sz w:val="20"/>
                <w:szCs w:val="20"/>
              </w:rPr>
              <w:t>175</w:t>
            </w:r>
          </w:p>
        </w:tc>
        <w:tc>
          <w:tcPr>
            <w:tcW w:w="0" w:type="pct"/>
            <w:shd w:val="clear" w:color="auto" w:fill="auto"/>
            <w:vAlign w:val="center"/>
          </w:tcPr>
          <w:p w14:paraId="33AEF73E" w14:textId="77777777" w:rsidR="00E14F7E" w:rsidRPr="00625D6F" w:rsidRDefault="00E14F7E" w:rsidP="00AF09FB">
            <w:pPr>
              <w:autoSpaceDE w:val="0"/>
              <w:autoSpaceDN w:val="0"/>
              <w:adjustRightInd w:val="0"/>
              <w:jc w:val="center"/>
              <w:rPr>
                <w:sz w:val="20"/>
                <w:szCs w:val="20"/>
              </w:rPr>
            </w:pPr>
            <w:r w:rsidRPr="00625D6F">
              <w:rPr>
                <w:sz w:val="20"/>
                <w:szCs w:val="20"/>
              </w:rPr>
              <w:t>166</w:t>
            </w:r>
          </w:p>
        </w:tc>
        <w:tc>
          <w:tcPr>
            <w:tcW w:w="0" w:type="pct"/>
            <w:shd w:val="clear" w:color="auto" w:fill="auto"/>
            <w:vAlign w:val="center"/>
          </w:tcPr>
          <w:p w14:paraId="5A4FDD1D" w14:textId="77777777" w:rsidR="00E14F7E" w:rsidRPr="00625D6F" w:rsidRDefault="00E14F7E" w:rsidP="00AF09FB">
            <w:pPr>
              <w:autoSpaceDE w:val="0"/>
              <w:autoSpaceDN w:val="0"/>
              <w:adjustRightInd w:val="0"/>
              <w:jc w:val="center"/>
              <w:rPr>
                <w:sz w:val="20"/>
                <w:szCs w:val="20"/>
              </w:rPr>
            </w:pPr>
            <w:r w:rsidRPr="00625D6F">
              <w:rPr>
                <w:sz w:val="20"/>
                <w:szCs w:val="20"/>
              </w:rPr>
              <w:t>94.9</w:t>
            </w:r>
          </w:p>
        </w:tc>
        <w:tc>
          <w:tcPr>
            <w:tcW w:w="0" w:type="pct"/>
            <w:shd w:val="clear" w:color="auto" w:fill="auto"/>
            <w:vAlign w:val="center"/>
          </w:tcPr>
          <w:p w14:paraId="44E28856" w14:textId="77777777" w:rsidR="00E14F7E" w:rsidRPr="00625D6F" w:rsidRDefault="00E14F7E" w:rsidP="00AF09FB">
            <w:pPr>
              <w:autoSpaceDE w:val="0"/>
              <w:autoSpaceDN w:val="0"/>
              <w:adjustRightInd w:val="0"/>
              <w:jc w:val="center"/>
              <w:rPr>
                <w:sz w:val="20"/>
                <w:szCs w:val="20"/>
              </w:rPr>
            </w:pPr>
            <w:r w:rsidRPr="00625D6F">
              <w:rPr>
                <w:sz w:val="20"/>
                <w:szCs w:val="20"/>
              </w:rPr>
              <w:t>0.67 (0.46, 0.88)</w:t>
            </w:r>
          </w:p>
        </w:tc>
      </w:tr>
      <w:tr w:rsidR="00625D6F" w:rsidRPr="00625D6F" w14:paraId="2E2EC7FB" w14:textId="77777777" w:rsidTr="00AF09FB">
        <w:tc>
          <w:tcPr>
            <w:tcW w:w="0" w:type="pct"/>
            <w:shd w:val="clear" w:color="auto" w:fill="auto"/>
            <w:vAlign w:val="center"/>
          </w:tcPr>
          <w:p w14:paraId="12F2DA56" w14:textId="77777777" w:rsidR="00E14F7E" w:rsidRPr="00625D6F" w:rsidRDefault="00E14F7E" w:rsidP="00625D6F">
            <w:pPr>
              <w:autoSpaceDE w:val="0"/>
              <w:autoSpaceDN w:val="0"/>
              <w:adjustRightInd w:val="0"/>
              <w:rPr>
                <w:b/>
                <w:bCs/>
                <w:sz w:val="20"/>
                <w:szCs w:val="20"/>
              </w:rPr>
            </w:pPr>
            <w:r w:rsidRPr="00625D6F">
              <w:rPr>
                <w:b/>
                <w:bCs/>
                <w:sz w:val="20"/>
                <w:szCs w:val="20"/>
              </w:rPr>
              <w:t xml:space="preserve">External Source </w:t>
            </w:r>
          </w:p>
        </w:tc>
        <w:tc>
          <w:tcPr>
            <w:tcW w:w="0" w:type="pct"/>
            <w:shd w:val="clear" w:color="auto" w:fill="auto"/>
            <w:vAlign w:val="center"/>
          </w:tcPr>
          <w:p w14:paraId="09AED78F" w14:textId="77777777" w:rsidR="00E14F7E" w:rsidRPr="00625D6F" w:rsidRDefault="00E14F7E" w:rsidP="00AF09FB">
            <w:pPr>
              <w:autoSpaceDE w:val="0"/>
              <w:autoSpaceDN w:val="0"/>
              <w:adjustRightInd w:val="0"/>
              <w:jc w:val="center"/>
              <w:rPr>
                <w:sz w:val="20"/>
                <w:szCs w:val="20"/>
              </w:rPr>
            </w:pPr>
            <w:r w:rsidRPr="00625D6F">
              <w:rPr>
                <w:sz w:val="20"/>
                <w:szCs w:val="20"/>
              </w:rPr>
              <w:t>175</w:t>
            </w:r>
          </w:p>
        </w:tc>
        <w:tc>
          <w:tcPr>
            <w:tcW w:w="0" w:type="pct"/>
            <w:shd w:val="clear" w:color="auto" w:fill="auto"/>
            <w:vAlign w:val="center"/>
          </w:tcPr>
          <w:p w14:paraId="139032E9" w14:textId="77777777" w:rsidR="00E14F7E" w:rsidRPr="00625D6F" w:rsidRDefault="00E14F7E" w:rsidP="00AF09FB">
            <w:pPr>
              <w:autoSpaceDE w:val="0"/>
              <w:autoSpaceDN w:val="0"/>
              <w:adjustRightInd w:val="0"/>
              <w:jc w:val="center"/>
              <w:rPr>
                <w:sz w:val="20"/>
                <w:szCs w:val="20"/>
              </w:rPr>
            </w:pPr>
            <w:r w:rsidRPr="00625D6F">
              <w:rPr>
                <w:sz w:val="20"/>
                <w:szCs w:val="20"/>
              </w:rPr>
              <w:t>131</w:t>
            </w:r>
          </w:p>
        </w:tc>
        <w:tc>
          <w:tcPr>
            <w:tcW w:w="0" w:type="pct"/>
            <w:shd w:val="clear" w:color="auto" w:fill="auto"/>
            <w:vAlign w:val="center"/>
          </w:tcPr>
          <w:p w14:paraId="1DFDE3B2" w14:textId="77777777" w:rsidR="00E14F7E" w:rsidRPr="00625D6F" w:rsidRDefault="00E14F7E" w:rsidP="00AF09FB">
            <w:pPr>
              <w:autoSpaceDE w:val="0"/>
              <w:autoSpaceDN w:val="0"/>
              <w:adjustRightInd w:val="0"/>
              <w:jc w:val="center"/>
              <w:rPr>
                <w:sz w:val="20"/>
                <w:szCs w:val="20"/>
              </w:rPr>
            </w:pPr>
            <w:r w:rsidRPr="00625D6F">
              <w:rPr>
                <w:sz w:val="20"/>
                <w:szCs w:val="20"/>
              </w:rPr>
              <w:t>74.9</w:t>
            </w:r>
          </w:p>
        </w:tc>
        <w:tc>
          <w:tcPr>
            <w:tcW w:w="0" w:type="pct"/>
            <w:shd w:val="clear" w:color="auto" w:fill="auto"/>
            <w:vAlign w:val="center"/>
          </w:tcPr>
          <w:p w14:paraId="3014EF58" w14:textId="77777777" w:rsidR="00E14F7E" w:rsidRPr="00625D6F" w:rsidRDefault="00E14F7E" w:rsidP="00AF09FB">
            <w:pPr>
              <w:autoSpaceDE w:val="0"/>
              <w:autoSpaceDN w:val="0"/>
              <w:adjustRightInd w:val="0"/>
              <w:jc w:val="center"/>
              <w:rPr>
                <w:sz w:val="20"/>
                <w:szCs w:val="20"/>
              </w:rPr>
            </w:pPr>
            <w:r w:rsidRPr="00625D6F">
              <w:rPr>
                <w:sz w:val="20"/>
                <w:szCs w:val="20"/>
              </w:rPr>
              <w:t>0.18 (-0.04, 0.39)</w:t>
            </w:r>
          </w:p>
        </w:tc>
      </w:tr>
      <w:tr w:rsidR="00625D6F" w:rsidRPr="00625D6F" w14:paraId="44D3FD64" w14:textId="77777777" w:rsidTr="00AF09FB">
        <w:tc>
          <w:tcPr>
            <w:tcW w:w="0" w:type="pct"/>
            <w:shd w:val="clear" w:color="auto" w:fill="auto"/>
            <w:vAlign w:val="center"/>
          </w:tcPr>
          <w:p w14:paraId="53BAA6D3" w14:textId="77777777" w:rsidR="00E14F7E" w:rsidRPr="00625D6F" w:rsidRDefault="00E14F7E" w:rsidP="00625D6F">
            <w:pPr>
              <w:autoSpaceDE w:val="0"/>
              <w:autoSpaceDN w:val="0"/>
              <w:adjustRightInd w:val="0"/>
              <w:rPr>
                <w:b/>
                <w:bCs/>
                <w:sz w:val="20"/>
                <w:szCs w:val="20"/>
              </w:rPr>
            </w:pPr>
            <w:r w:rsidRPr="00625D6F">
              <w:rPr>
                <w:b/>
                <w:bCs/>
                <w:sz w:val="20"/>
                <w:szCs w:val="20"/>
              </w:rPr>
              <w:t>Reconciliation Action</w:t>
            </w:r>
          </w:p>
        </w:tc>
        <w:tc>
          <w:tcPr>
            <w:tcW w:w="0" w:type="pct"/>
            <w:shd w:val="clear" w:color="auto" w:fill="auto"/>
            <w:vAlign w:val="center"/>
          </w:tcPr>
          <w:p w14:paraId="3A9EC0CC" w14:textId="77777777" w:rsidR="00E14F7E" w:rsidRPr="00625D6F" w:rsidRDefault="00E14F7E" w:rsidP="00AF09FB">
            <w:pPr>
              <w:autoSpaceDE w:val="0"/>
              <w:autoSpaceDN w:val="0"/>
              <w:adjustRightInd w:val="0"/>
              <w:jc w:val="center"/>
              <w:rPr>
                <w:sz w:val="20"/>
                <w:szCs w:val="20"/>
              </w:rPr>
            </w:pPr>
            <w:r w:rsidRPr="00625D6F">
              <w:rPr>
                <w:sz w:val="20"/>
                <w:szCs w:val="20"/>
              </w:rPr>
              <w:t>126</w:t>
            </w:r>
          </w:p>
        </w:tc>
        <w:tc>
          <w:tcPr>
            <w:tcW w:w="0" w:type="pct"/>
            <w:shd w:val="clear" w:color="auto" w:fill="auto"/>
            <w:vAlign w:val="center"/>
          </w:tcPr>
          <w:p w14:paraId="77572B45" w14:textId="77777777" w:rsidR="00E14F7E" w:rsidRPr="00625D6F" w:rsidRDefault="00E14F7E" w:rsidP="00AF09FB">
            <w:pPr>
              <w:autoSpaceDE w:val="0"/>
              <w:autoSpaceDN w:val="0"/>
              <w:adjustRightInd w:val="0"/>
              <w:jc w:val="center"/>
              <w:rPr>
                <w:sz w:val="20"/>
                <w:szCs w:val="20"/>
              </w:rPr>
            </w:pPr>
            <w:r w:rsidRPr="00625D6F">
              <w:rPr>
                <w:sz w:val="20"/>
                <w:szCs w:val="20"/>
              </w:rPr>
              <w:t>118</w:t>
            </w:r>
          </w:p>
        </w:tc>
        <w:tc>
          <w:tcPr>
            <w:tcW w:w="0" w:type="pct"/>
            <w:shd w:val="clear" w:color="auto" w:fill="auto"/>
            <w:vAlign w:val="center"/>
          </w:tcPr>
          <w:p w14:paraId="6623FC1C" w14:textId="77777777" w:rsidR="00E14F7E" w:rsidRPr="00625D6F" w:rsidRDefault="00E14F7E" w:rsidP="00AF09FB">
            <w:pPr>
              <w:autoSpaceDE w:val="0"/>
              <w:autoSpaceDN w:val="0"/>
              <w:adjustRightInd w:val="0"/>
              <w:jc w:val="center"/>
              <w:rPr>
                <w:sz w:val="20"/>
                <w:szCs w:val="20"/>
              </w:rPr>
            </w:pPr>
            <w:r w:rsidRPr="00625D6F">
              <w:rPr>
                <w:sz w:val="20"/>
                <w:szCs w:val="20"/>
              </w:rPr>
              <w:t>93.7</w:t>
            </w:r>
          </w:p>
        </w:tc>
        <w:tc>
          <w:tcPr>
            <w:tcW w:w="0" w:type="pct"/>
            <w:shd w:val="clear" w:color="auto" w:fill="auto"/>
            <w:vAlign w:val="center"/>
          </w:tcPr>
          <w:p w14:paraId="0D8BBCBB" w14:textId="77777777" w:rsidR="00E14F7E" w:rsidRPr="00625D6F" w:rsidRDefault="00E14F7E" w:rsidP="00AF09FB">
            <w:pPr>
              <w:autoSpaceDE w:val="0"/>
              <w:autoSpaceDN w:val="0"/>
              <w:adjustRightInd w:val="0"/>
              <w:jc w:val="center"/>
              <w:rPr>
                <w:sz w:val="20"/>
                <w:szCs w:val="20"/>
              </w:rPr>
            </w:pPr>
            <w:r w:rsidRPr="00625D6F">
              <w:rPr>
                <w:sz w:val="20"/>
                <w:szCs w:val="20"/>
              </w:rPr>
              <w:t>0.66 (0.40, 0.91)</w:t>
            </w:r>
          </w:p>
        </w:tc>
      </w:tr>
      <w:tr w:rsidR="00625D6F" w:rsidRPr="00625D6F" w14:paraId="32CD8EF9" w14:textId="77777777" w:rsidTr="00AF09FB">
        <w:trPr>
          <w:cantSplit/>
        </w:trPr>
        <w:tc>
          <w:tcPr>
            <w:tcW w:w="0" w:type="pct"/>
          </w:tcPr>
          <w:p w14:paraId="13ACCCA8" w14:textId="77777777" w:rsidR="00E14F7E" w:rsidRPr="00625D6F" w:rsidRDefault="00E14F7E" w:rsidP="00625D6F">
            <w:pPr>
              <w:autoSpaceDE w:val="0"/>
              <w:autoSpaceDN w:val="0"/>
              <w:adjustRightInd w:val="0"/>
              <w:rPr>
                <w:b/>
                <w:bCs/>
                <w:sz w:val="20"/>
                <w:szCs w:val="20"/>
              </w:rPr>
            </w:pPr>
            <w:r w:rsidRPr="00625D6F">
              <w:rPr>
                <w:b/>
                <w:bCs/>
                <w:sz w:val="20"/>
                <w:szCs w:val="20"/>
              </w:rPr>
              <w:t xml:space="preserve">Reconciliation Action by End of Day 2 or PTA Medication List signed within 24-hours if no medications </w:t>
            </w:r>
          </w:p>
        </w:tc>
        <w:tc>
          <w:tcPr>
            <w:tcW w:w="0" w:type="pct"/>
            <w:vAlign w:val="center"/>
          </w:tcPr>
          <w:p w14:paraId="67340F03" w14:textId="77777777" w:rsidR="00E14F7E" w:rsidRPr="00625D6F" w:rsidRDefault="00E14F7E" w:rsidP="00AF09FB">
            <w:pPr>
              <w:autoSpaceDE w:val="0"/>
              <w:autoSpaceDN w:val="0"/>
              <w:adjustRightInd w:val="0"/>
              <w:jc w:val="center"/>
              <w:rPr>
                <w:sz w:val="20"/>
                <w:szCs w:val="20"/>
              </w:rPr>
            </w:pPr>
            <w:r w:rsidRPr="00625D6F">
              <w:rPr>
                <w:sz w:val="20"/>
                <w:szCs w:val="20"/>
              </w:rPr>
              <w:t>175</w:t>
            </w:r>
          </w:p>
        </w:tc>
        <w:tc>
          <w:tcPr>
            <w:tcW w:w="0" w:type="pct"/>
            <w:vAlign w:val="center"/>
          </w:tcPr>
          <w:p w14:paraId="5330D8F4" w14:textId="77777777" w:rsidR="00E14F7E" w:rsidRPr="00625D6F" w:rsidRDefault="00E14F7E" w:rsidP="00AF09FB">
            <w:pPr>
              <w:autoSpaceDE w:val="0"/>
              <w:autoSpaceDN w:val="0"/>
              <w:adjustRightInd w:val="0"/>
              <w:jc w:val="center"/>
              <w:rPr>
                <w:sz w:val="20"/>
                <w:szCs w:val="20"/>
              </w:rPr>
            </w:pPr>
            <w:r w:rsidRPr="00625D6F">
              <w:rPr>
                <w:sz w:val="20"/>
                <w:szCs w:val="20"/>
              </w:rPr>
              <w:t>157</w:t>
            </w:r>
          </w:p>
        </w:tc>
        <w:tc>
          <w:tcPr>
            <w:tcW w:w="0" w:type="pct"/>
            <w:vAlign w:val="center"/>
          </w:tcPr>
          <w:p w14:paraId="13FFF3F1" w14:textId="77777777" w:rsidR="00E14F7E" w:rsidRPr="00625D6F" w:rsidRDefault="00E14F7E" w:rsidP="00AF09FB">
            <w:pPr>
              <w:autoSpaceDE w:val="0"/>
              <w:autoSpaceDN w:val="0"/>
              <w:adjustRightInd w:val="0"/>
              <w:jc w:val="center"/>
              <w:rPr>
                <w:sz w:val="20"/>
                <w:szCs w:val="20"/>
              </w:rPr>
            </w:pPr>
            <w:r w:rsidRPr="00625D6F">
              <w:rPr>
                <w:sz w:val="20"/>
                <w:szCs w:val="20"/>
              </w:rPr>
              <w:t>89.7</w:t>
            </w:r>
          </w:p>
        </w:tc>
        <w:tc>
          <w:tcPr>
            <w:tcW w:w="0" w:type="pct"/>
            <w:vAlign w:val="center"/>
          </w:tcPr>
          <w:p w14:paraId="5D3E1C39" w14:textId="77777777" w:rsidR="00E14F7E" w:rsidRPr="00625D6F" w:rsidRDefault="00E14F7E" w:rsidP="00AF09FB">
            <w:pPr>
              <w:autoSpaceDE w:val="0"/>
              <w:autoSpaceDN w:val="0"/>
              <w:adjustRightInd w:val="0"/>
              <w:jc w:val="center"/>
              <w:rPr>
                <w:sz w:val="20"/>
                <w:szCs w:val="20"/>
              </w:rPr>
            </w:pPr>
            <w:r w:rsidRPr="00625D6F">
              <w:rPr>
                <w:sz w:val="20"/>
                <w:szCs w:val="20"/>
              </w:rPr>
              <w:t>0.53 (0.28, 0.77)</w:t>
            </w:r>
          </w:p>
        </w:tc>
      </w:tr>
      <w:tr w:rsidR="00625D6F" w:rsidRPr="00625D6F" w14:paraId="376022AD" w14:textId="77777777" w:rsidTr="00AF09FB">
        <w:tc>
          <w:tcPr>
            <w:tcW w:w="0" w:type="pct"/>
            <w:tcBorders>
              <w:bottom w:val="single" w:sz="4" w:space="0" w:color="auto"/>
            </w:tcBorders>
            <w:shd w:val="clear" w:color="auto" w:fill="auto"/>
            <w:vAlign w:val="center"/>
          </w:tcPr>
          <w:p w14:paraId="12F2BF40" w14:textId="77777777" w:rsidR="00E14F7E" w:rsidRPr="00625D6F" w:rsidRDefault="00E14F7E" w:rsidP="00625D6F">
            <w:pPr>
              <w:autoSpaceDE w:val="0"/>
              <w:autoSpaceDN w:val="0"/>
              <w:adjustRightInd w:val="0"/>
              <w:rPr>
                <w:rFonts w:eastAsia="Calibri,Arial" w:cs="Calibri,Arial"/>
                <w:b/>
                <w:bCs/>
                <w:sz w:val="20"/>
                <w:szCs w:val="20"/>
              </w:rPr>
            </w:pPr>
            <w:r w:rsidRPr="00625D6F">
              <w:rPr>
                <w:b/>
                <w:bCs/>
                <w:sz w:val="20"/>
                <w:szCs w:val="20"/>
              </w:rPr>
              <w:t>Total data elements</w:t>
            </w:r>
          </w:p>
        </w:tc>
        <w:tc>
          <w:tcPr>
            <w:tcW w:w="0" w:type="pct"/>
            <w:tcBorders>
              <w:bottom w:val="single" w:sz="4" w:space="0" w:color="auto"/>
            </w:tcBorders>
            <w:shd w:val="clear" w:color="auto" w:fill="auto"/>
            <w:vAlign w:val="center"/>
          </w:tcPr>
          <w:p w14:paraId="059FB718" w14:textId="77777777" w:rsidR="00E14F7E" w:rsidRPr="00625D6F" w:rsidRDefault="00E14F7E" w:rsidP="00AF09FB">
            <w:pPr>
              <w:autoSpaceDE w:val="0"/>
              <w:autoSpaceDN w:val="0"/>
              <w:adjustRightInd w:val="0"/>
              <w:jc w:val="center"/>
              <w:rPr>
                <w:sz w:val="20"/>
                <w:szCs w:val="20"/>
              </w:rPr>
            </w:pPr>
            <w:r w:rsidRPr="00625D6F">
              <w:rPr>
                <w:sz w:val="20"/>
                <w:szCs w:val="20"/>
              </w:rPr>
              <w:t>651</w:t>
            </w:r>
          </w:p>
        </w:tc>
        <w:tc>
          <w:tcPr>
            <w:tcW w:w="0" w:type="pct"/>
            <w:tcBorders>
              <w:bottom w:val="single" w:sz="4" w:space="0" w:color="auto"/>
            </w:tcBorders>
            <w:shd w:val="clear" w:color="auto" w:fill="auto"/>
            <w:vAlign w:val="center"/>
          </w:tcPr>
          <w:p w14:paraId="5B3FDA13" w14:textId="77777777" w:rsidR="00E14F7E" w:rsidRPr="00625D6F" w:rsidRDefault="00E14F7E" w:rsidP="00AF09FB">
            <w:pPr>
              <w:autoSpaceDE w:val="0"/>
              <w:autoSpaceDN w:val="0"/>
              <w:adjustRightInd w:val="0"/>
              <w:jc w:val="center"/>
              <w:rPr>
                <w:sz w:val="20"/>
                <w:szCs w:val="20"/>
              </w:rPr>
            </w:pPr>
            <w:r w:rsidRPr="00625D6F">
              <w:rPr>
                <w:sz w:val="20"/>
                <w:szCs w:val="20"/>
              </w:rPr>
              <w:t>572</w:t>
            </w:r>
          </w:p>
        </w:tc>
        <w:tc>
          <w:tcPr>
            <w:tcW w:w="0" w:type="pct"/>
            <w:tcBorders>
              <w:bottom w:val="single" w:sz="4" w:space="0" w:color="auto"/>
            </w:tcBorders>
            <w:shd w:val="clear" w:color="auto" w:fill="auto"/>
            <w:vAlign w:val="center"/>
          </w:tcPr>
          <w:p w14:paraId="3B9DFA3F" w14:textId="77777777" w:rsidR="00E14F7E" w:rsidRPr="00625D6F" w:rsidRDefault="00E14F7E" w:rsidP="00AF09FB">
            <w:pPr>
              <w:autoSpaceDE w:val="0"/>
              <w:autoSpaceDN w:val="0"/>
              <w:adjustRightInd w:val="0"/>
              <w:jc w:val="center"/>
              <w:rPr>
                <w:sz w:val="20"/>
                <w:szCs w:val="20"/>
              </w:rPr>
            </w:pPr>
            <w:r w:rsidRPr="00625D6F">
              <w:rPr>
                <w:sz w:val="20"/>
                <w:szCs w:val="20"/>
              </w:rPr>
              <w:t>87.9</w:t>
            </w:r>
          </w:p>
        </w:tc>
        <w:tc>
          <w:tcPr>
            <w:tcW w:w="0" w:type="pct"/>
            <w:tcBorders>
              <w:bottom w:val="single" w:sz="4" w:space="0" w:color="auto"/>
            </w:tcBorders>
            <w:shd w:val="clear" w:color="auto" w:fill="auto"/>
            <w:vAlign w:val="center"/>
          </w:tcPr>
          <w:p w14:paraId="36961994" w14:textId="77777777" w:rsidR="00E14F7E" w:rsidRPr="00625D6F" w:rsidRDefault="00E14F7E" w:rsidP="00AF09FB">
            <w:pPr>
              <w:autoSpaceDE w:val="0"/>
              <w:autoSpaceDN w:val="0"/>
              <w:adjustRightInd w:val="0"/>
              <w:jc w:val="center"/>
              <w:rPr>
                <w:sz w:val="20"/>
                <w:szCs w:val="20"/>
              </w:rPr>
            </w:pPr>
            <w:r w:rsidRPr="00625D6F">
              <w:rPr>
                <w:sz w:val="20"/>
                <w:szCs w:val="20"/>
              </w:rPr>
              <w:t>0.61 (0.53, 0.69)</w:t>
            </w:r>
          </w:p>
        </w:tc>
      </w:tr>
    </w:tbl>
    <w:p w14:paraId="0317EAE0" w14:textId="2DC18264" w:rsidR="00E14F7E" w:rsidRPr="00625D6F" w:rsidRDefault="00050E81" w:rsidP="00775E17">
      <w:pPr>
        <w:pStyle w:val="Caption"/>
      </w:pPr>
      <w:bookmarkStart w:id="44" w:name="_Ref478136508"/>
      <w:bookmarkStart w:id="45" w:name="_Toc485898272"/>
      <w:bookmarkStart w:id="46" w:name="_Toc486419633"/>
      <w:bookmarkStart w:id="47" w:name="_Toc487097905"/>
      <w:bookmarkStart w:id="48" w:name="_Toc487104016"/>
      <w:bookmarkStart w:id="49" w:name="_Toc487793029"/>
      <w:bookmarkStart w:id="50" w:name="_Toc490226707"/>
      <w:bookmarkEnd w:id="44"/>
      <w:r>
        <w:t xml:space="preserve">Table 2a2.3-B </w:t>
      </w:r>
      <w:r w:rsidR="00E14F7E" w:rsidRPr="00625D6F">
        <w:t>Cohen’s Kappa within Facilities</w:t>
      </w:r>
      <w:bookmarkEnd w:id="45"/>
      <w:bookmarkEnd w:id="46"/>
      <w:bookmarkEnd w:id="47"/>
      <w:bookmarkEnd w:id="48"/>
      <w:bookmarkEnd w:id="49"/>
      <w:bookmarkEnd w:id="50"/>
    </w:p>
    <w:tbl>
      <w:tblPr>
        <w:tblStyle w:val="TableGrid1"/>
        <w:tblW w:w="5077" w:type="pct"/>
        <w:tblLook w:val="04A0" w:firstRow="1" w:lastRow="0" w:firstColumn="1" w:lastColumn="0" w:noHBand="0" w:noVBand="1"/>
        <w:tblCaption w:val=""/>
        <w:tblDescription w:val=""/>
      </w:tblPr>
      <w:tblGrid>
        <w:gridCol w:w="1727"/>
        <w:gridCol w:w="776"/>
        <w:gridCol w:w="776"/>
        <w:gridCol w:w="776"/>
        <w:gridCol w:w="777"/>
        <w:gridCol w:w="777"/>
        <w:gridCol w:w="777"/>
        <w:gridCol w:w="777"/>
        <w:gridCol w:w="777"/>
        <w:gridCol w:w="777"/>
        <w:gridCol w:w="777"/>
      </w:tblGrid>
      <w:tr w:rsidR="00EC2D4D" w:rsidRPr="00EC2D4D" w14:paraId="567BAA68" w14:textId="77777777" w:rsidTr="00B06492">
        <w:trPr>
          <w:trHeight w:val="161"/>
        </w:trPr>
        <w:tc>
          <w:tcPr>
            <w:tcW w:w="910" w:type="pct"/>
            <w:shd w:val="clear" w:color="auto" w:fill="365F91" w:themeFill="accent1" w:themeFillShade="BF"/>
            <w:noWrap/>
            <w:hideMark/>
          </w:tcPr>
          <w:p w14:paraId="479A43B4" w14:textId="77777777" w:rsidR="00E14F7E" w:rsidRPr="00EC2D4D" w:rsidRDefault="00E14F7E" w:rsidP="00625D6F">
            <w:pPr>
              <w:jc w:val="center"/>
              <w:rPr>
                <w:rFonts w:asciiTheme="minorHAnsi" w:hAnsiTheme="minorHAnsi"/>
                <w:b/>
                <w:color w:val="FFFFFF" w:themeColor="background1"/>
                <w:sz w:val="18"/>
                <w:szCs w:val="18"/>
              </w:rPr>
            </w:pPr>
          </w:p>
        </w:tc>
        <w:tc>
          <w:tcPr>
            <w:tcW w:w="409" w:type="pct"/>
            <w:shd w:val="clear" w:color="auto" w:fill="365F91" w:themeFill="accent1" w:themeFillShade="BF"/>
            <w:hideMark/>
          </w:tcPr>
          <w:p w14:paraId="0424304E"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1</w:t>
            </w:r>
          </w:p>
        </w:tc>
        <w:tc>
          <w:tcPr>
            <w:tcW w:w="409" w:type="pct"/>
            <w:shd w:val="clear" w:color="auto" w:fill="365F91" w:themeFill="accent1" w:themeFillShade="BF"/>
            <w:hideMark/>
          </w:tcPr>
          <w:p w14:paraId="7B5DD7A1"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2</w:t>
            </w:r>
          </w:p>
        </w:tc>
        <w:tc>
          <w:tcPr>
            <w:tcW w:w="409" w:type="pct"/>
            <w:shd w:val="clear" w:color="auto" w:fill="365F91" w:themeFill="accent1" w:themeFillShade="BF"/>
            <w:hideMark/>
          </w:tcPr>
          <w:p w14:paraId="5A263DA3"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3</w:t>
            </w:r>
          </w:p>
        </w:tc>
        <w:tc>
          <w:tcPr>
            <w:tcW w:w="409" w:type="pct"/>
            <w:shd w:val="clear" w:color="auto" w:fill="365F91" w:themeFill="accent1" w:themeFillShade="BF"/>
            <w:hideMark/>
          </w:tcPr>
          <w:p w14:paraId="081783B0"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4</w:t>
            </w:r>
          </w:p>
        </w:tc>
        <w:tc>
          <w:tcPr>
            <w:tcW w:w="409" w:type="pct"/>
            <w:shd w:val="clear" w:color="auto" w:fill="365F91" w:themeFill="accent1" w:themeFillShade="BF"/>
            <w:hideMark/>
          </w:tcPr>
          <w:p w14:paraId="0923B8E1"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5</w:t>
            </w:r>
          </w:p>
        </w:tc>
        <w:tc>
          <w:tcPr>
            <w:tcW w:w="409" w:type="pct"/>
            <w:shd w:val="clear" w:color="auto" w:fill="365F91" w:themeFill="accent1" w:themeFillShade="BF"/>
            <w:hideMark/>
          </w:tcPr>
          <w:p w14:paraId="3A783D38"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6</w:t>
            </w:r>
          </w:p>
        </w:tc>
        <w:tc>
          <w:tcPr>
            <w:tcW w:w="409" w:type="pct"/>
            <w:shd w:val="clear" w:color="auto" w:fill="365F91" w:themeFill="accent1" w:themeFillShade="BF"/>
            <w:hideMark/>
          </w:tcPr>
          <w:p w14:paraId="31D17100"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7</w:t>
            </w:r>
          </w:p>
        </w:tc>
        <w:tc>
          <w:tcPr>
            <w:tcW w:w="409" w:type="pct"/>
            <w:shd w:val="clear" w:color="auto" w:fill="365F91" w:themeFill="accent1" w:themeFillShade="BF"/>
            <w:hideMark/>
          </w:tcPr>
          <w:p w14:paraId="4AE8D6CE"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8</w:t>
            </w:r>
          </w:p>
        </w:tc>
        <w:tc>
          <w:tcPr>
            <w:tcW w:w="409" w:type="pct"/>
            <w:shd w:val="clear" w:color="auto" w:fill="365F91" w:themeFill="accent1" w:themeFillShade="BF"/>
            <w:hideMark/>
          </w:tcPr>
          <w:p w14:paraId="61857374"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IPF 9</w:t>
            </w:r>
          </w:p>
        </w:tc>
        <w:tc>
          <w:tcPr>
            <w:tcW w:w="409" w:type="pct"/>
            <w:shd w:val="clear" w:color="auto" w:fill="365F91" w:themeFill="accent1" w:themeFillShade="BF"/>
          </w:tcPr>
          <w:p w14:paraId="57AB0214" w14:textId="77777777" w:rsidR="00E14F7E" w:rsidRPr="00EC2D4D" w:rsidRDefault="00E14F7E" w:rsidP="00625D6F">
            <w:pPr>
              <w:jc w:val="center"/>
              <w:rPr>
                <w:rFonts w:asciiTheme="minorHAnsi" w:hAnsiTheme="minorHAnsi"/>
                <w:b/>
                <w:color w:val="FFFFFF" w:themeColor="background1"/>
                <w:sz w:val="18"/>
                <w:szCs w:val="18"/>
              </w:rPr>
            </w:pPr>
            <w:r w:rsidRPr="00EC2D4D">
              <w:rPr>
                <w:rFonts w:asciiTheme="minorHAnsi" w:hAnsiTheme="minorHAnsi"/>
                <w:b/>
                <w:color w:val="FFFFFF" w:themeColor="background1"/>
                <w:sz w:val="18"/>
                <w:szCs w:val="18"/>
              </w:rPr>
              <w:t>Pooled Kappa</w:t>
            </w:r>
          </w:p>
        </w:tc>
      </w:tr>
      <w:tr w:rsidR="00625D6F" w:rsidRPr="00625D6F" w14:paraId="235CD3C1" w14:textId="77777777" w:rsidTr="00AF09FB">
        <w:tc>
          <w:tcPr>
            <w:tcW w:w="910" w:type="pct"/>
          </w:tcPr>
          <w:p w14:paraId="61453C42" w14:textId="77777777" w:rsidR="00E14F7E" w:rsidRPr="00EC2D4D" w:rsidRDefault="00E14F7E" w:rsidP="00625D6F">
            <w:pPr>
              <w:rPr>
                <w:rFonts w:asciiTheme="minorHAnsi" w:hAnsiTheme="minorHAnsi"/>
                <w:b/>
              </w:rPr>
            </w:pPr>
            <w:r w:rsidRPr="00EC2D4D">
              <w:rPr>
                <w:rFonts w:asciiTheme="minorHAnsi" w:hAnsiTheme="minorHAnsi"/>
                <w:b/>
              </w:rPr>
              <w:t>Total data elements</w:t>
            </w:r>
          </w:p>
          <w:p w14:paraId="3825A012" w14:textId="77777777" w:rsidR="00E14F7E" w:rsidRPr="00EC2D4D" w:rsidRDefault="00E14F7E" w:rsidP="00625D6F">
            <w:pPr>
              <w:rPr>
                <w:rFonts w:asciiTheme="minorHAnsi" w:hAnsiTheme="minorHAnsi"/>
                <w:sz w:val="18"/>
                <w:szCs w:val="18"/>
              </w:rPr>
            </w:pPr>
            <w:r w:rsidRPr="00EC2D4D">
              <w:rPr>
                <w:rFonts w:asciiTheme="minorHAnsi" w:hAnsiTheme="minorHAnsi"/>
                <w:b/>
              </w:rPr>
              <w:t>(95% CI)</w:t>
            </w:r>
          </w:p>
        </w:tc>
        <w:tc>
          <w:tcPr>
            <w:tcW w:w="409" w:type="pct"/>
            <w:vAlign w:val="center"/>
          </w:tcPr>
          <w:p w14:paraId="167AA231"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0.65 (0.45,</w:t>
            </w:r>
          </w:p>
          <w:p w14:paraId="79ACE87F"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0.85)</w:t>
            </w:r>
          </w:p>
        </w:tc>
        <w:tc>
          <w:tcPr>
            <w:tcW w:w="409" w:type="pct"/>
            <w:vAlign w:val="center"/>
          </w:tcPr>
          <w:p w14:paraId="796040E7"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0.82 (0.69, 0.96)</w:t>
            </w:r>
          </w:p>
        </w:tc>
        <w:tc>
          <w:tcPr>
            <w:tcW w:w="409" w:type="pct"/>
            <w:vAlign w:val="center"/>
          </w:tcPr>
          <w:p w14:paraId="7CA6C5FD" w14:textId="569F44E5"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0.18</w:t>
            </w:r>
          </w:p>
          <w:p w14:paraId="250686A7"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(-0.14, 0.49)</w:t>
            </w:r>
          </w:p>
        </w:tc>
        <w:tc>
          <w:tcPr>
            <w:tcW w:w="409" w:type="pct"/>
            <w:vAlign w:val="center"/>
          </w:tcPr>
          <w:p w14:paraId="0668855F" w14:textId="3722EB9F"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0.85</w:t>
            </w:r>
          </w:p>
          <w:p w14:paraId="72D132AC"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(0.56, 1.00)</w:t>
            </w:r>
          </w:p>
        </w:tc>
        <w:tc>
          <w:tcPr>
            <w:tcW w:w="409" w:type="pct"/>
            <w:vAlign w:val="center"/>
          </w:tcPr>
          <w:p w14:paraId="5E91F448"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0.32 (0.11, 0.53)</w:t>
            </w:r>
          </w:p>
        </w:tc>
        <w:tc>
          <w:tcPr>
            <w:tcW w:w="409" w:type="pct"/>
            <w:vAlign w:val="center"/>
          </w:tcPr>
          <w:p w14:paraId="20555B7B"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0.57 (0.39, 0.75)</w:t>
            </w:r>
          </w:p>
        </w:tc>
        <w:tc>
          <w:tcPr>
            <w:tcW w:w="409" w:type="pct"/>
            <w:vAlign w:val="center"/>
          </w:tcPr>
          <w:p w14:paraId="05A331B0"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0.37 (0.10, 0.64)</w:t>
            </w:r>
          </w:p>
        </w:tc>
        <w:tc>
          <w:tcPr>
            <w:tcW w:w="409" w:type="pct"/>
            <w:vAlign w:val="center"/>
          </w:tcPr>
          <w:p w14:paraId="60B5E2A9"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N/A</w:t>
            </w:r>
          </w:p>
        </w:tc>
        <w:tc>
          <w:tcPr>
            <w:tcW w:w="409" w:type="pct"/>
            <w:vAlign w:val="center"/>
          </w:tcPr>
          <w:p w14:paraId="3CC5504D"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1.00 (1.00, 1.00)</w:t>
            </w:r>
          </w:p>
        </w:tc>
        <w:tc>
          <w:tcPr>
            <w:tcW w:w="409" w:type="pct"/>
            <w:vAlign w:val="center"/>
          </w:tcPr>
          <w:p w14:paraId="78A66AD1" w14:textId="77777777" w:rsidR="00E14F7E" w:rsidRPr="00EC2D4D" w:rsidRDefault="00E14F7E" w:rsidP="00AF09FB">
            <w:pPr>
              <w:autoSpaceDE w:val="0"/>
              <w:autoSpaceDN w:val="0"/>
              <w:adjustRightInd w:val="0"/>
              <w:jc w:val="center"/>
              <w:rPr>
                <w:rFonts w:asciiTheme="minorHAnsi" w:hAnsiTheme="minorHAnsi"/>
              </w:rPr>
            </w:pPr>
            <w:r w:rsidRPr="00EC2D4D">
              <w:rPr>
                <w:rFonts w:asciiTheme="minorHAnsi" w:hAnsiTheme="minorHAnsi"/>
              </w:rPr>
              <w:t>0.61 (0.53, 0.69)</w:t>
            </w:r>
          </w:p>
        </w:tc>
      </w:tr>
    </w:tbl>
    <w:p w14:paraId="0AAC75BA" w14:textId="1DBECA3D" w:rsidR="00625D6F" w:rsidRPr="00625D6F" w:rsidRDefault="00050E81" w:rsidP="00775E17">
      <w:pPr>
        <w:pStyle w:val="Caption"/>
      </w:pPr>
      <w:bookmarkStart w:id="51" w:name="_Toc478140196"/>
      <w:bookmarkStart w:id="52" w:name="_Toc485898273"/>
      <w:bookmarkStart w:id="53" w:name="_Toc486419634"/>
      <w:bookmarkStart w:id="54" w:name="_Toc487097906"/>
      <w:bookmarkStart w:id="55" w:name="_Toc487104017"/>
      <w:bookmarkStart w:id="56" w:name="_Toc487793030"/>
      <w:bookmarkStart w:id="57" w:name="_Toc490226708"/>
      <w:r>
        <w:t>Table 2a2.3-C</w:t>
      </w:r>
      <w:r w:rsidR="00625D6F" w:rsidRPr="00625D6F">
        <w:t xml:space="preserve"> Reliability for Each IPF Final Measure Score</w:t>
      </w:r>
      <w:bookmarkEnd w:id="51"/>
      <w:bookmarkEnd w:id="52"/>
      <w:bookmarkEnd w:id="53"/>
      <w:bookmarkEnd w:id="54"/>
      <w:bookmarkEnd w:id="55"/>
      <w:bookmarkEnd w:id="56"/>
      <w:bookmarkEnd w:id="57"/>
    </w:p>
    <w:tbl>
      <w:tblPr>
        <w:tblStyle w:val="ListTable3-Accent1"/>
        <w:tblW w:w="50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80"/>
        <w:gridCol w:w="881"/>
        <w:gridCol w:w="881"/>
        <w:gridCol w:w="881"/>
        <w:gridCol w:w="879"/>
        <w:gridCol w:w="881"/>
        <w:gridCol w:w="881"/>
        <w:gridCol w:w="881"/>
        <w:gridCol w:w="881"/>
      </w:tblGrid>
      <w:tr w:rsidR="00EC2D4D" w:rsidRPr="00EC2D4D" w14:paraId="61664F16" w14:textId="77777777" w:rsidTr="00AF09FB">
        <w:trPr>
          <w:cnfStyle w:val="100000000000" w:firstRow="1" w:lastRow="0" w:firstColumn="0" w:lastColumn="0" w:oddVBand="0" w:evenVBand="0" w:oddHBand="0" w:evenHBand="0" w:firstRowFirstColumn="0" w:firstRowLastColumn="0" w:lastRowFirstColumn="0" w:lastRowLastColumn="0"/>
          <w:trHeight w:val="300"/>
          <w:tblHeader/>
        </w:trPr>
        <w:tc>
          <w:tcPr>
            <w:cnfStyle w:val="001000000100" w:firstRow="0" w:lastRow="0" w:firstColumn="1" w:lastColumn="0" w:oddVBand="0" w:evenVBand="0" w:oddHBand="0" w:evenHBand="0" w:firstRowFirstColumn="1" w:firstRowLastColumn="0" w:lastRowFirstColumn="0" w:lastRowLastColumn="0"/>
            <w:tcW w:w="843" w:type="pct"/>
            <w:shd w:val="clear" w:color="auto" w:fill="365F91" w:themeFill="accent1" w:themeFillShade="BF"/>
            <w:hideMark/>
          </w:tcPr>
          <w:p w14:paraId="152D1566" w14:textId="77777777" w:rsidR="00625D6F" w:rsidRPr="00EC2D4D" w:rsidRDefault="00625D6F" w:rsidP="00625D6F">
            <w:pPr>
              <w:autoSpaceDE w:val="0"/>
              <w:autoSpaceDN w:val="0"/>
              <w:adjustRightInd w:val="0"/>
              <w:rPr>
                <w:sz w:val="20"/>
                <w:szCs w:val="20"/>
              </w:rPr>
            </w:pPr>
          </w:p>
        </w:tc>
        <w:tc>
          <w:tcPr>
            <w:tcW w:w="461" w:type="pct"/>
            <w:shd w:val="clear" w:color="auto" w:fill="365F91" w:themeFill="accent1" w:themeFillShade="BF"/>
            <w:noWrap/>
            <w:hideMark/>
          </w:tcPr>
          <w:p w14:paraId="7D9A9FB3"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1</w:t>
            </w:r>
          </w:p>
        </w:tc>
        <w:tc>
          <w:tcPr>
            <w:tcW w:w="462" w:type="pct"/>
            <w:shd w:val="clear" w:color="auto" w:fill="365F91" w:themeFill="accent1" w:themeFillShade="BF"/>
            <w:noWrap/>
            <w:hideMark/>
          </w:tcPr>
          <w:p w14:paraId="2FED9854"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2</w:t>
            </w:r>
          </w:p>
        </w:tc>
        <w:tc>
          <w:tcPr>
            <w:tcW w:w="462" w:type="pct"/>
            <w:shd w:val="clear" w:color="auto" w:fill="365F91" w:themeFill="accent1" w:themeFillShade="BF"/>
            <w:noWrap/>
            <w:hideMark/>
          </w:tcPr>
          <w:p w14:paraId="48F9A38F"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3</w:t>
            </w:r>
          </w:p>
        </w:tc>
        <w:tc>
          <w:tcPr>
            <w:tcW w:w="462" w:type="pct"/>
            <w:shd w:val="clear" w:color="auto" w:fill="365F91" w:themeFill="accent1" w:themeFillShade="BF"/>
            <w:noWrap/>
            <w:hideMark/>
          </w:tcPr>
          <w:p w14:paraId="2C048502"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4</w:t>
            </w:r>
          </w:p>
        </w:tc>
        <w:tc>
          <w:tcPr>
            <w:tcW w:w="461" w:type="pct"/>
            <w:shd w:val="clear" w:color="auto" w:fill="365F91" w:themeFill="accent1" w:themeFillShade="BF"/>
            <w:noWrap/>
            <w:hideMark/>
          </w:tcPr>
          <w:p w14:paraId="446F7252"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5</w:t>
            </w:r>
          </w:p>
        </w:tc>
        <w:tc>
          <w:tcPr>
            <w:tcW w:w="462" w:type="pct"/>
            <w:shd w:val="clear" w:color="auto" w:fill="365F91" w:themeFill="accent1" w:themeFillShade="BF"/>
            <w:noWrap/>
            <w:hideMark/>
          </w:tcPr>
          <w:p w14:paraId="02819068"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6</w:t>
            </w:r>
          </w:p>
        </w:tc>
        <w:tc>
          <w:tcPr>
            <w:tcW w:w="462" w:type="pct"/>
            <w:shd w:val="clear" w:color="auto" w:fill="365F91" w:themeFill="accent1" w:themeFillShade="BF"/>
            <w:noWrap/>
            <w:hideMark/>
          </w:tcPr>
          <w:p w14:paraId="3F8D8660"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7</w:t>
            </w:r>
          </w:p>
        </w:tc>
        <w:tc>
          <w:tcPr>
            <w:tcW w:w="462" w:type="pct"/>
            <w:shd w:val="clear" w:color="auto" w:fill="365F91" w:themeFill="accent1" w:themeFillShade="BF"/>
            <w:noWrap/>
            <w:hideMark/>
          </w:tcPr>
          <w:p w14:paraId="3368EB3E"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8</w:t>
            </w:r>
          </w:p>
        </w:tc>
        <w:tc>
          <w:tcPr>
            <w:tcW w:w="462" w:type="pct"/>
            <w:shd w:val="clear" w:color="auto" w:fill="365F91" w:themeFill="accent1" w:themeFillShade="BF"/>
            <w:noWrap/>
            <w:hideMark/>
          </w:tcPr>
          <w:p w14:paraId="5B157640" w14:textId="77777777" w:rsidR="00625D6F" w:rsidRPr="00EC2D4D" w:rsidRDefault="00625D6F" w:rsidP="00625D6F">
            <w:pPr>
              <w:jc w:val="center"/>
              <w:cnfStyle w:val="100000000000" w:firstRow="1" w:lastRow="0" w:firstColumn="0" w:lastColumn="0" w:oddVBand="0" w:evenVBand="0" w:oddHBand="0" w:evenHBand="0" w:firstRowFirstColumn="0" w:firstRowLastColumn="0" w:lastRowFirstColumn="0" w:lastRowLastColumn="0"/>
              <w:rPr>
                <w:sz w:val="20"/>
                <w:szCs w:val="20"/>
              </w:rPr>
            </w:pPr>
            <w:r w:rsidRPr="00EC2D4D">
              <w:rPr>
                <w:sz w:val="20"/>
                <w:szCs w:val="20"/>
              </w:rPr>
              <w:t>IPF 9</w:t>
            </w:r>
          </w:p>
        </w:tc>
      </w:tr>
      <w:tr w:rsidR="00625D6F" w:rsidRPr="00625D6F" w14:paraId="694446D4" w14:textId="77777777" w:rsidTr="00AF09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3" w:type="pct"/>
          </w:tcPr>
          <w:p w14:paraId="2CF4F707" w14:textId="77777777" w:rsidR="00625D6F" w:rsidRPr="00EC2D4D" w:rsidRDefault="00625D6F" w:rsidP="00625D6F">
            <w:pPr>
              <w:rPr>
                <w:sz w:val="20"/>
                <w:szCs w:val="20"/>
              </w:rPr>
            </w:pPr>
            <w:r w:rsidRPr="00EC2D4D">
              <w:rPr>
                <w:sz w:val="20"/>
                <w:szCs w:val="20"/>
              </w:rPr>
              <w:t xml:space="preserve">Between IPFs </w:t>
            </w:r>
            <w:r w:rsidRPr="00EC2D4D">
              <w:rPr>
                <w:rFonts w:eastAsia="Calibri,Times New Roman" w:cs="Calibri,Times New Roman"/>
                <w:sz w:val="20"/>
                <w:szCs w:val="20"/>
              </w:rPr>
              <w:sym w:font="Symbol" w:char="F073"/>
            </w:r>
            <w:r w:rsidRPr="00EC2D4D">
              <w:rPr>
                <w:sz w:val="20"/>
                <w:szCs w:val="20"/>
                <w:vertAlign w:val="superscript"/>
              </w:rPr>
              <w:t>2</w:t>
            </w:r>
          </w:p>
        </w:tc>
        <w:tc>
          <w:tcPr>
            <w:tcW w:w="461" w:type="pct"/>
            <w:noWrap/>
            <w:vAlign w:val="center"/>
          </w:tcPr>
          <w:p w14:paraId="4CB5A0EF"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6EEBBF0C"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650D2179"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43CA115F"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1" w:type="pct"/>
            <w:noWrap/>
            <w:vAlign w:val="center"/>
          </w:tcPr>
          <w:p w14:paraId="3A09515D"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12832D30"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4D693A17"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58E67246"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c>
          <w:tcPr>
            <w:tcW w:w="462" w:type="pct"/>
            <w:noWrap/>
            <w:vAlign w:val="center"/>
          </w:tcPr>
          <w:p w14:paraId="1BBAD32E"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1143</w:t>
            </w:r>
          </w:p>
        </w:tc>
      </w:tr>
      <w:tr w:rsidR="00625D6F" w:rsidRPr="00625D6F" w14:paraId="2B1D3152" w14:textId="77777777" w:rsidTr="00AF09FB">
        <w:trPr>
          <w:trHeight w:val="300"/>
        </w:trPr>
        <w:tc>
          <w:tcPr>
            <w:cnfStyle w:val="001000000000" w:firstRow="0" w:lastRow="0" w:firstColumn="1" w:lastColumn="0" w:oddVBand="0" w:evenVBand="0" w:oddHBand="0" w:evenHBand="0" w:firstRowFirstColumn="0" w:firstRowLastColumn="0" w:lastRowFirstColumn="0" w:lastRowLastColumn="0"/>
            <w:tcW w:w="843" w:type="pct"/>
          </w:tcPr>
          <w:p w14:paraId="7B5E18EA" w14:textId="77777777" w:rsidR="00625D6F" w:rsidRPr="00EC2D4D" w:rsidRDefault="00625D6F" w:rsidP="00625D6F">
            <w:pPr>
              <w:rPr>
                <w:sz w:val="20"/>
                <w:szCs w:val="20"/>
              </w:rPr>
            </w:pPr>
            <w:r w:rsidRPr="00EC2D4D">
              <w:rPr>
                <w:sz w:val="20"/>
                <w:szCs w:val="20"/>
              </w:rPr>
              <w:t xml:space="preserve">Within IPF </w:t>
            </w:r>
            <w:r w:rsidRPr="00EC2D4D">
              <w:rPr>
                <w:rFonts w:eastAsia="Calibri,Times New Roman" w:cs="Calibri,Times New Roman"/>
                <w:sz w:val="20"/>
                <w:szCs w:val="20"/>
              </w:rPr>
              <w:sym w:font="Symbol" w:char="F073"/>
            </w:r>
            <w:r w:rsidRPr="00EC2D4D">
              <w:rPr>
                <w:sz w:val="20"/>
                <w:szCs w:val="20"/>
                <w:vertAlign w:val="superscript"/>
              </w:rPr>
              <w:t>2</w:t>
            </w:r>
          </w:p>
        </w:tc>
        <w:tc>
          <w:tcPr>
            <w:tcW w:w="461" w:type="pct"/>
            <w:noWrap/>
            <w:vAlign w:val="center"/>
          </w:tcPr>
          <w:p w14:paraId="63EECA68"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21.8</w:t>
            </w:r>
          </w:p>
        </w:tc>
        <w:tc>
          <w:tcPr>
            <w:tcW w:w="462" w:type="pct"/>
            <w:noWrap/>
            <w:vAlign w:val="center"/>
          </w:tcPr>
          <w:p w14:paraId="5AD7EC4B"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14.8</w:t>
            </w:r>
          </w:p>
        </w:tc>
        <w:tc>
          <w:tcPr>
            <w:tcW w:w="462" w:type="pct"/>
            <w:noWrap/>
            <w:vAlign w:val="center"/>
          </w:tcPr>
          <w:p w14:paraId="2890E465"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17.7</w:t>
            </w:r>
          </w:p>
        </w:tc>
        <w:tc>
          <w:tcPr>
            <w:tcW w:w="462" w:type="pct"/>
            <w:noWrap/>
            <w:vAlign w:val="center"/>
          </w:tcPr>
          <w:p w14:paraId="5996C6CA"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10.6</w:t>
            </w:r>
          </w:p>
        </w:tc>
        <w:tc>
          <w:tcPr>
            <w:tcW w:w="461" w:type="pct"/>
            <w:noWrap/>
            <w:vAlign w:val="center"/>
          </w:tcPr>
          <w:p w14:paraId="085513E5"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21</w:t>
            </w:r>
          </w:p>
        </w:tc>
        <w:tc>
          <w:tcPr>
            <w:tcW w:w="462" w:type="pct"/>
            <w:noWrap/>
            <w:vAlign w:val="center"/>
          </w:tcPr>
          <w:p w14:paraId="42E8E9DE"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6.5</w:t>
            </w:r>
          </w:p>
        </w:tc>
        <w:tc>
          <w:tcPr>
            <w:tcW w:w="462" w:type="pct"/>
            <w:noWrap/>
            <w:vAlign w:val="center"/>
          </w:tcPr>
          <w:p w14:paraId="7C60D3E5"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24.5</w:t>
            </w:r>
          </w:p>
        </w:tc>
        <w:tc>
          <w:tcPr>
            <w:tcW w:w="462" w:type="pct"/>
            <w:noWrap/>
            <w:vAlign w:val="center"/>
          </w:tcPr>
          <w:p w14:paraId="29ADE7C3"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2.0</w:t>
            </w:r>
          </w:p>
        </w:tc>
        <w:tc>
          <w:tcPr>
            <w:tcW w:w="462" w:type="pct"/>
            <w:noWrap/>
            <w:vAlign w:val="center"/>
          </w:tcPr>
          <w:p w14:paraId="0FA0E927" w14:textId="77777777" w:rsidR="00625D6F" w:rsidRPr="00EC2D4D" w:rsidRDefault="00625D6F" w:rsidP="00AF09FB">
            <w:pPr>
              <w:jc w:val="center"/>
              <w:cnfStyle w:val="000000000000" w:firstRow="0" w:lastRow="0" w:firstColumn="0" w:lastColumn="0" w:oddVBand="0" w:evenVBand="0" w:oddHBand="0" w:evenHBand="0" w:firstRowFirstColumn="0" w:firstRowLastColumn="0" w:lastRowFirstColumn="0" w:lastRowLastColumn="0"/>
              <w:rPr>
                <w:sz w:val="20"/>
                <w:szCs w:val="20"/>
              </w:rPr>
            </w:pPr>
            <w:r w:rsidRPr="00EC2D4D">
              <w:rPr>
                <w:sz w:val="20"/>
                <w:szCs w:val="20"/>
              </w:rPr>
              <w:t>14.8</w:t>
            </w:r>
          </w:p>
        </w:tc>
      </w:tr>
      <w:tr w:rsidR="00625D6F" w:rsidRPr="00625D6F" w14:paraId="66CBC5EC" w14:textId="77777777" w:rsidTr="00AF09F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43" w:type="pct"/>
            <w:tcBorders>
              <w:bottom w:val="single" w:sz="4" w:space="0" w:color="auto"/>
            </w:tcBorders>
            <w:hideMark/>
          </w:tcPr>
          <w:p w14:paraId="19F9DA74" w14:textId="77777777" w:rsidR="00625D6F" w:rsidRPr="00EC2D4D" w:rsidRDefault="00625D6F" w:rsidP="00625D6F">
            <w:pPr>
              <w:rPr>
                <w:sz w:val="20"/>
                <w:szCs w:val="20"/>
              </w:rPr>
            </w:pPr>
            <w:r w:rsidRPr="00EC2D4D">
              <w:rPr>
                <w:sz w:val="20"/>
                <w:szCs w:val="20"/>
              </w:rPr>
              <w:t>Reliability</w:t>
            </w:r>
          </w:p>
        </w:tc>
        <w:tc>
          <w:tcPr>
            <w:tcW w:w="461" w:type="pct"/>
            <w:tcBorders>
              <w:bottom w:val="single" w:sz="4" w:space="0" w:color="auto"/>
            </w:tcBorders>
            <w:noWrap/>
            <w:vAlign w:val="center"/>
          </w:tcPr>
          <w:p w14:paraId="213E4871"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0.9813</w:t>
            </w:r>
          </w:p>
        </w:tc>
        <w:tc>
          <w:tcPr>
            <w:tcW w:w="462" w:type="pct"/>
            <w:tcBorders>
              <w:bottom w:val="single" w:sz="4" w:space="0" w:color="auto"/>
            </w:tcBorders>
            <w:noWrap/>
            <w:vAlign w:val="center"/>
          </w:tcPr>
          <w:p w14:paraId="6D6DE8A5"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0.9873</w:t>
            </w:r>
          </w:p>
        </w:tc>
        <w:tc>
          <w:tcPr>
            <w:tcW w:w="462" w:type="pct"/>
            <w:tcBorders>
              <w:bottom w:val="single" w:sz="4" w:space="0" w:color="auto"/>
            </w:tcBorders>
            <w:noWrap/>
            <w:vAlign w:val="center"/>
          </w:tcPr>
          <w:p w14:paraId="2C82FABA"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0.9847</w:t>
            </w:r>
          </w:p>
        </w:tc>
        <w:tc>
          <w:tcPr>
            <w:tcW w:w="462" w:type="pct"/>
            <w:tcBorders>
              <w:bottom w:val="single" w:sz="4" w:space="0" w:color="auto"/>
            </w:tcBorders>
            <w:noWrap/>
            <w:vAlign w:val="center"/>
          </w:tcPr>
          <w:p w14:paraId="37D983EB"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0.9908</w:t>
            </w:r>
          </w:p>
        </w:tc>
        <w:tc>
          <w:tcPr>
            <w:tcW w:w="461" w:type="pct"/>
            <w:tcBorders>
              <w:bottom w:val="single" w:sz="4" w:space="0" w:color="auto"/>
            </w:tcBorders>
            <w:noWrap/>
            <w:vAlign w:val="center"/>
          </w:tcPr>
          <w:p w14:paraId="2EA699C0"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0.9820</w:t>
            </w:r>
          </w:p>
        </w:tc>
        <w:tc>
          <w:tcPr>
            <w:tcW w:w="462" w:type="pct"/>
            <w:tcBorders>
              <w:bottom w:val="single" w:sz="4" w:space="0" w:color="auto"/>
            </w:tcBorders>
            <w:noWrap/>
            <w:vAlign w:val="center"/>
          </w:tcPr>
          <w:p w14:paraId="48652A40"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0.9943</w:t>
            </w:r>
          </w:p>
        </w:tc>
        <w:tc>
          <w:tcPr>
            <w:tcW w:w="462" w:type="pct"/>
            <w:tcBorders>
              <w:bottom w:val="single" w:sz="4" w:space="0" w:color="auto"/>
            </w:tcBorders>
            <w:noWrap/>
            <w:vAlign w:val="center"/>
          </w:tcPr>
          <w:p w14:paraId="6C12A85F"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0.9790</w:t>
            </w:r>
          </w:p>
        </w:tc>
        <w:tc>
          <w:tcPr>
            <w:tcW w:w="462" w:type="pct"/>
            <w:tcBorders>
              <w:bottom w:val="single" w:sz="4" w:space="0" w:color="auto"/>
            </w:tcBorders>
            <w:noWrap/>
            <w:vAlign w:val="center"/>
          </w:tcPr>
          <w:p w14:paraId="22D23D86"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0.9983</w:t>
            </w:r>
          </w:p>
        </w:tc>
        <w:tc>
          <w:tcPr>
            <w:tcW w:w="462" w:type="pct"/>
            <w:tcBorders>
              <w:bottom w:val="single" w:sz="4" w:space="0" w:color="auto"/>
            </w:tcBorders>
            <w:noWrap/>
            <w:vAlign w:val="center"/>
          </w:tcPr>
          <w:p w14:paraId="768EFEA4" w14:textId="77777777" w:rsidR="00625D6F" w:rsidRPr="00EC2D4D" w:rsidRDefault="00625D6F" w:rsidP="00AF09FB">
            <w:pPr>
              <w:jc w:val="center"/>
              <w:cnfStyle w:val="000000100000" w:firstRow="0" w:lastRow="0" w:firstColumn="0" w:lastColumn="0" w:oddVBand="0" w:evenVBand="0" w:oddHBand="1" w:evenHBand="0" w:firstRowFirstColumn="0" w:firstRowLastColumn="0" w:lastRowFirstColumn="0" w:lastRowLastColumn="0"/>
              <w:rPr>
                <w:sz w:val="20"/>
                <w:szCs w:val="20"/>
              </w:rPr>
            </w:pPr>
            <w:r w:rsidRPr="00EC2D4D">
              <w:rPr>
                <w:sz w:val="20"/>
                <w:szCs w:val="20"/>
              </w:rPr>
              <w:t>0.9873</w:t>
            </w:r>
          </w:p>
        </w:tc>
      </w:tr>
    </w:tbl>
    <w:p w14:paraId="23FE589D" w14:textId="77777777" w:rsidR="00625D6F" w:rsidRPr="00625D6F" w:rsidRDefault="00625D6F" w:rsidP="00625D6F">
      <w:pPr>
        <w:autoSpaceDE w:val="0"/>
        <w:autoSpaceDN w:val="0"/>
        <w:adjustRightInd w:val="0"/>
        <w:spacing w:after="0" w:line="240" w:lineRule="auto"/>
        <w:rPr>
          <w:rFonts w:cstheme="minorHAnsi"/>
          <w:bCs/>
          <w:color w:val="0000FF"/>
        </w:rPr>
      </w:pPr>
    </w:p>
    <w:p w14:paraId="078826D2" w14:textId="00AC3816" w:rsidR="00242AD4" w:rsidRDefault="00092566" w:rsidP="00B6042F">
      <w:pPr>
        <w:autoSpaceDE w:val="0"/>
        <w:autoSpaceDN w:val="0"/>
        <w:adjustRightInd w:val="0"/>
        <w:spacing w:after="0" w:line="240" w:lineRule="auto"/>
        <w:outlineLvl w:val="0"/>
        <w:rPr>
          <w:b/>
          <w:bCs/>
          <w:color w:val="0000FF"/>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200C4420" w14:textId="02C2D593" w:rsidR="00B6042F" w:rsidRPr="00F87A11" w:rsidRDefault="00B6042F" w:rsidP="00242AD4">
      <w:pPr>
        <w:autoSpaceDE w:val="0"/>
        <w:autoSpaceDN w:val="0"/>
        <w:adjustRightInd w:val="0"/>
        <w:spacing w:before="120" w:after="0" w:line="240" w:lineRule="auto"/>
        <w:outlineLvl w:val="0"/>
        <w:rPr>
          <w:b/>
          <w:bCs/>
          <w:color w:val="0000FF"/>
        </w:rPr>
      </w:pPr>
      <w:r w:rsidRPr="15B07BB9">
        <w:rPr>
          <w:b/>
          <w:bCs/>
          <w:color w:val="0000FF"/>
        </w:rPr>
        <w:t>Data Element Reliability</w:t>
      </w:r>
    </w:p>
    <w:p w14:paraId="3D7F79DE" w14:textId="77777777" w:rsidR="00A11710" w:rsidRPr="00625D6F" w:rsidRDefault="00A11710" w:rsidP="00A11710">
      <w:pPr>
        <w:autoSpaceDE w:val="0"/>
        <w:autoSpaceDN w:val="0"/>
        <w:adjustRightInd w:val="0"/>
        <w:spacing w:after="0" w:line="240" w:lineRule="auto"/>
        <w:rPr>
          <w:color w:val="0000FF"/>
        </w:rPr>
      </w:pPr>
      <w:r w:rsidRPr="00625D6F">
        <w:rPr>
          <w:color w:val="0000FF"/>
        </w:rPr>
        <w:t xml:space="preserve">Inter-rater reliability results are shown in </w:t>
      </w:r>
      <w:r>
        <w:rPr>
          <w:color w:val="0000FF"/>
        </w:rPr>
        <w:t xml:space="preserve">Table </w:t>
      </w:r>
      <w:r w:rsidRPr="001C4CF9">
        <w:rPr>
          <w:color w:val="0000FF"/>
        </w:rPr>
        <w:t>2a2.3</w:t>
      </w:r>
      <w:r>
        <w:rPr>
          <w:color w:val="0000FF"/>
        </w:rPr>
        <w:t>-A</w:t>
      </w:r>
      <w:r w:rsidRPr="00625D6F">
        <w:rPr>
          <w:color w:val="0000FF"/>
        </w:rPr>
        <w:t xml:space="preserve">. </w:t>
      </w:r>
      <w:r w:rsidRPr="00625D6F">
        <w:rPr>
          <w:color w:val="0000FF"/>
        </w:rPr>
        <w:fldChar w:fldCharType="begin"/>
      </w:r>
      <w:r w:rsidRPr="00625D6F">
        <w:rPr>
          <w:color w:val="0000FF"/>
        </w:rPr>
        <w:instrText xml:space="preserve"> REF _Ref478136293 \h  \* MERGEFORMAT </w:instrText>
      </w:r>
      <w:r w:rsidRPr="00625D6F">
        <w:rPr>
          <w:color w:val="0000FF"/>
        </w:rPr>
      </w:r>
      <w:r w:rsidRPr="00625D6F">
        <w:rPr>
          <w:color w:val="0000FF"/>
        </w:rPr>
        <w:fldChar w:fldCharType="end"/>
      </w:r>
      <w:r w:rsidRPr="00625D6F">
        <w:rPr>
          <w:color w:val="0000FF"/>
        </w:rPr>
        <w:t xml:space="preserve">For simplicity and computational efficiency, a normal distribution of data was assumed to establish confidence intervals. The confidence intervals for the pooled Cohen’s Kappa may therefore generate upper limits smaller than -1.00 or greater than 1.00, which were truncated to -1.00 and 1.00, respectively.  </w:t>
      </w:r>
    </w:p>
    <w:p w14:paraId="3B5B730D" w14:textId="77777777" w:rsidR="005A6CA3" w:rsidRDefault="005A6CA3" w:rsidP="00F21E13">
      <w:pPr>
        <w:autoSpaceDE w:val="0"/>
        <w:autoSpaceDN w:val="0"/>
        <w:adjustRightInd w:val="0"/>
        <w:spacing w:after="0" w:line="240" w:lineRule="auto"/>
        <w:rPr>
          <w:color w:val="0000FF"/>
        </w:rPr>
      </w:pPr>
    </w:p>
    <w:p w14:paraId="178C38C6" w14:textId="42E991B1" w:rsidR="00F21E13" w:rsidRPr="00625D6F" w:rsidRDefault="00F21E13" w:rsidP="00F21E13">
      <w:pPr>
        <w:autoSpaceDE w:val="0"/>
        <w:autoSpaceDN w:val="0"/>
        <w:adjustRightInd w:val="0"/>
        <w:spacing w:after="0" w:line="240" w:lineRule="auto"/>
        <w:rPr>
          <w:color w:val="0000FF"/>
        </w:rPr>
      </w:pPr>
      <w:r w:rsidRPr="00625D6F">
        <w:rPr>
          <w:color w:val="0000FF"/>
        </w:rPr>
        <w:t>The percentage of overall agreement across the four scoring data elements was 87.9%. The pooled Cohen’s Kappa score for the data elements across all nine facilities was 0.61 (95% CI: 0.53, 0.69), indicating substantial agreement (</w:t>
      </w:r>
      <w:r>
        <w:rPr>
          <w:color w:val="0000FF"/>
        </w:rPr>
        <w:t>Table 2a2.3-B</w:t>
      </w:r>
      <w:r w:rsidRPr="00625D6F">
        <w:rPr>
          <w:color w:val="0000FF"/>
        </w:rPr>
        <w:t xml:space="preserve">). </w:t>
      </w:r>
      <w:r w:rsidRPr="00625D6F">
        <w:rPr>
          <w:color w:val="0000FF"/>
        </w:rPr>
        <w:fldChar w:fldCharType="begin"/>
      </w:r>
      <w:r w:rsidRPr="00625D6F">
        <w:rPr>
          <w:color w:val="0000FF"/>
        </w:rPr>
        <w:instrText xml:space="preserve"> REF _Ref478136508 \h  \* MERGEFORMAT </w:instrText>
      </w:r>
      <w:r w:rsidRPr="00625D6F">
        <w:rPr>
          <w:color w:val="0000FF"/>
        </w:rPr>
      </w:r>
      <w:r w:rsidRPr="00625D6F">
        <w:rPr>
          <w:color w:val="0000FF"/>
        </w:rPr>
        <w:fldChar w:fldCharType="end"/>
      </w:r>
      <w:r w:rsidRPr="00625D6F">
        <w:rPr>
          <w:color w:val="0000FF"/>
        </w:rPr>
        <w:t xml:space="preserve">The data element with the lowest agreement and Cohen’s Kappa score was </w:t>
      </w:r>
      <w:r w:rsidRPr="00625D6F">
        <w:rPr>
          <w:i/>
          <w:iCs/>
          <w:color w:val="0000FF"/>
        </w:rPr>
        <w:t>External Source</w:t>
      </w:r>
      <w:r w:rsidRPr="00625D6F">
        <w:rPr>
          <w:color w:val="0000FF"/>
        </w:rPr>
        <w:t xml:space="preserve"> (Criterion 2).</w:t>
      </w:r>
    </w:p>
    <w:p w14:paraId="796AB887" w14:textId="77777777" w:rsidR="00F21E13" w:rsidRDefault="00F21E13" w:rsidP="00F21E13">
      <w:pPr>
        <w:spacing w:after="0" w:line="240" w:lineRule="auto"/>
        <w:rPr>
          <w:color w:val="0000FF"/>
        </w:rPr>
      </w:pPr>
    </w:p>
    <w:p w14:paraId="0E360084" w14:textId="77777777" w:rsidR="00F21E13" w:rsidRPr="00625D6F" w:rsidRDefault="00F21E13" w:rsidP="00F21E13">
      <w:pPr>
        <w:spacing w:after="0" w:line="240" w:lineRule="auto"/>
        <w:rPr>
          <w:color w:val="0000FF"/>
        </w:rPr>
      </w:pPr>
      <w:r w:rsidRPr="00625D6F">
        <w:rPr>
          <w:color w:val="0000FF"/>
        </w:rPr>
        <w:t>The relatively lower agreement rate for Criterion 2 is likely inherent in current medical record documentation practices, which do not require specification of which sources were used to ascertain PTA medications. Thus, abstractors had to read through admission and progress notes to identify potential sources of PTA medications. It is likely that IPFs will integrate designated fields or check boxes into their medical records if the measure were implemented. This would simplify and standardize data ascertainment and improve communication with other members of the care team and providers about the source of medications on the PTA medication list.</w:t>
      </w:r>
    </w:p>
    <w:p w14:paraId="2088CBCE" w14:textId="77777777" w:rsidR="005A6CA3" w:rsidRDefault="005A6CA3" w:rsidP="00F21E13">
      <w:pPr>
        <w:spacing w:after="0" w:line="240" w:lineRule="auto"/>
        <w:rPr>
          <w:color w:val="0000FF"/>
        </w:rPr>
      </w:pPr>
    </w:p>
    <w:p w14:paraId="48BE89F7" w14:textId="3A82E440" w:rsidR="00F21E13" w:rsidRPr="00625D6F" w:rsidRDefault="005A6CA3" w:rsidP="00F21E13">
      <w:pPr>
        <w:spacing w:after="0" w:line="240" w:lineRule="auto"/>
        <w:rPr>
          <w:color w:val="0000FF"/>
        </w:rPr>
      </w:pPr>
      <w:r w:rsidRPr="005A6CA3">
        <w:rPr>
          <w:color w:val="0000FF"/>
        </w:rPr>
        <w:t xml:space="preserve">Table 2a2.3-C </w:t>
      </w:r>
      <w:r w:rsidR="00F21E13" w:rsidRPr="00625D6F">
        <w:rPr>
          <w:color w:val="0000FF"/>
        </w:rPr>
        <w:t xml:space="preserve">provides the Cohen’s Kappa score for each facility except IPF 8, which could not be calculated due to perfect agreement between abstractors. Based on the standard interpretation of the scores, IPF 5 had slight agreement, IPF 6 and IPF 7 had moderate agreement, IPF 3 had substantial agreement, and IPF 1, IPF 2, IPF 4, and IPF 9 had perfect agreement. Facility 5 identified several reasons for discrepancies, including how each abstractor handled inconsistent documentation (such as, the reconciliation action was dated after discharge, which was corrected by one abstractor but used verbatim by the other). Discrepancies at IPF 3 and IPF 7 can be explained in part by different interpretations of admission time, which led to different responses to whether some cases completed the medication reconciliation by the end of Day 2 of the hospitalization. Instructions to use the time of the physician admission order have been added to the abstraction instructions to eliminate the need for interpretation and clarify which timestamp should be used. </w:t>
      </w:r>
    </w:p>
    <w:p w14:paraId="43C781D3" w14:textId="77777777" w:rsidR="00F21E13" w:rsidRDefault="00F21E13" w:rsidP="00DB3627">
      <w:pPr>
        <w:autoSpaceDE w:val="0"/>
        <w:autoSpaceDN w:val="0"/>
        <w:adjustRightInd w:val="0"/>
        <w:spacing w:after="0" w:line="240" w:lineRule="auto"/>
        <w:rPr>
          <w:color w:val="0000FF"/>
        </w:rPr>
      </w:pPr>
    </w:p>
    <w:p w14:paraId="583AD514" w14:textId="77777777" w:rsidR="00B6042F" w:rsidRPr="00F87A11" w:rsidRDefault="00B6042F" w:rsidP="00B6042F">
      <w:pPr>
        <w:autoSpaceDE w:val="0"/>
        <w:autoSpaceDN w:val="0"/>
        <w:adjustRightInd w:val="0"/>
        <w:spacing w:after="0" w:line="240" w:lineRule="auto"/>
        <w:outlineLvl w:val="0"/>
        <w:rPr>
          <w:b/>
          <w:bCs/>
          <w:color w:val="0000FF"/>
        </w:rPr>
      </w:pPr>
      <w:r w:rsidRPr="15B07BB9">
        <w:rPr>
          <w:b/>
          <w:bCs/>
          <w:color w:val="0000FF"/>
        </w:rPr>
        <w:t>Performance Measure Score Reliability</w:t>
      </w:r>
    </w:p>
    <w:p w14:paraId="0CABCFD4" w14:textId="60CD6C7B" w:rsidR="007422FD" w:rsidRPr="00F21E13" w:rsidRDefault="00F21E13" w:rsidP="00DB3627">
      <w:pPr>
        <w:autoSpaceDE w:val="0"/>
        <w:autoSpaceDN w:val="0"/>
        <w:adjustRightInd w:val="0"/>
        <w:spacing w:after="0" w:line="240" w:lineRule="auto"/>
        <w:rPr>
          <w:color w:val="0000FF"/>
        </w:rPr>
      </w:pPr>
      <w:r w:rsidRPr="00625D6F">
        <w:rPr>
          <w:color w:val="0000FF"/>
        </w:rPr>
        <w:t>The reliability for each IPF measure score is shown in</w:t>
      </w:r>
      <w:r>
        <w:rPr>
          <w:color w:val="0000FF"/>
        </w:rPr>
        <w:t xml:space="preserve"> Table 2a2.3-C</w:t>
      </w:r>
      <w:r w:rsidRPr="00625D6F">
        <w:rPr>
          <w:color w:val="0000FF"/>
        </w:rPr>
        <w:t xml:space="preserve">. </w:t>
      </w:r>
      <w:r w:rsidRPr="00625D6F">
        <w:rPr>
          <w:color w:val="0000FF"/>
        </w:rPr>
        <w:fldChar w:fldCharType="begin"/>
      </w:r>
      <w:r w:rsidRPr="00625D6F">
        <w:rPr>
          <w:color w:val="0000FF"/>
        </w:rPr>
        <w:instrText xml:space="preserve"> REF _Ref478136603 \h  \* MERGEFORMAT </w:instrText>
      </w:r>
      <w:r w:rsidRPr="00625D6F">
        <w:rPr>
          <w:color w:val="0000FF"/>
        </w:rPr>
      </w:r>
      <w:r w:rsidRPr="00625D6F">
        <w:rPr>
          <w:color w:val="0000FF"/>
        </w:rPr>
        <w:fldChar w:fldCharType="end"/>
      </w:r>
      <w:r w:rsidRPr="00625D6F">
        <w:rPr>
          <w:color w:val="0000FF"/>
        </w:rPr>
        <w:t xml:space="preserve">The high coefficients reflect small variances within IPF scores and large variance of scores across facilities and indicate that the measure score is highly reliable with a sample of 100 records. </w:t>
      </w:r>
      <w:bookmarkStart w:id="58" w:name="_Ref478136603"/>
      <w:bookmarkStart w:id="59" w:name="_Ref484528942"/>
      <w:bookmarkEnd w:id="58"/>
      <w:bookmarkEnd w:id="59"/>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22AE22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4466DE4D" w:rsidR="00696262" w:rsidRPr="00A25024" w:rsidRDefault="006C0C2A"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C31AB0">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05452A76" w:rsidR="000574AB" w:rsidRPr="00A25024" w:rsidRDefault="006C0C2A"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C31AB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33BE403" w14:textId="77777777" w:rsidR="00326627" w:rsidRPr="003F3815" w:rsidRDefault="009C7513" w:rsidP="00326627">
      <w:pPr>
        <w:pStyle w:val="ListParagraph"/>
        <w:spacing w:after="0" w:line="240" w:lineRule="auto"/>
        <w:ind w:left="0"/>
        <w:outlineLvl w:val="0"/>
        <w:rPr>
          <w:b/>
          <w:bCs/>
          <w:color w:val="0000FF"/>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326627" w:rsidRPr="15B07BB9">
        <w:rPr>
          <w:b/>
          <w:bCs/>
          <w:color w:val="0000FF"/>
        </w:rPr>
        <w:t>Systematic Assessment of Face Validity</w:t>
      </w:r>
    </w:p>
    <w:p w14:paraId="73713A10" w14:textId="5D117293" w:rsidR="00326627" w:rsidRPr="00326627" w:rsidRDefault="00326627" w:rsidP="00326627">
      <w:pPr>
        <w:autoSpaceDE w:val="0"/>
        <w:autoSpaceDN w:val="0"/>
        <w:adjustRightInd w:val="0"/>
        <w:spacing w:after="0" w:line="240" w:lineRule="auto"/>
        <w:rPr>
          <w:color w:val="0000FF"/>
        </w:rPr>
      </w:pPr>
      <w:r w:rsidRPr="00326627">
        <w:rPr>
          <w:color w:val="0000FF"/>
        </w:rPr>
        <w:t>Face validity of the measure score was obtained by a TEP vote at the conclusion of measure refinement. The TEP was provided with the final measure specifications and presented the results of field testing. After review and discussion</w:t>
      </w:r>
      <w:r w:rsidR="00CF0112">
        <w:rPr>
          <w:color w:val="0000FF"/>
        </w:rPr>
        <w:t xml:space="preserve"> </w:t>
      </w:r>
      <w:r w:rsidR="006C02B3">
        <w:rPr>
          <w:color w:val="0000FF"/>
        </w:rPr>
        <w:t>during</w:t>
      </w:r>
      <w:r w:rsidR="00CF0112">
        <w:rPr>
          <w:color w:val="0000FF"/>
        </w:rPr>
        <w:t xml:space="preserve"> a TEP Meeting</w:t>
      </w:r>
      <w:r w:rsidRPr="00326627">
        <w:rPr>
          <w:color w:val="0000FF"/>
        </w:rPr>
        <w:t xml:space="preserve">, HSAG asked the TEP members to indicate whether they agree, disagree, or are unable to rate the following face validity statement: </w:t>
      </w:r>
    </w:p>
    <w:p w14:paraId="0CABCFDD" w14:textId="3EA65842" w:rsidR="00833325" w:rsidRPr="00A25024" w:rsidRDefault="00326627" w:rsidP="00CD6F07">
      <w:pPr>
        <w:autoSpaceDE w:val="0"/>
        <w:autoSpaceDN w:val="0"/>
        <w:adjustRightInd w:val="0"/>
        <w:spacing w:after="0" w:line="240" w:lineRule="auto"/>
        <w:ind w:left="180"/>
        <w:rPr>
          <w:rFonts w:cstheme="minorHAnsi"/>
          <w:bCs/>
        </w:rPr>
      </w:pPr>
      <w:r w:rsidRPr="00326627">
        <w:rPr>
          <w:i/>
          <w:iCs/>
          <w:color w:val="0000FF"/>
        </w:rPr>
        <w:t>“The performance scores resulting from the Medication Reconciliation on Admission measure, as specified, can be used to distinguish good from poor facility-level quality related to the process of collecting and reconciling medications on admission to an inpatient facility.”</w:t>
      </w:r>
    </w:p>
    <w:p w14:paraId="231C0CDF" w14:textId="77777777" w:rsidR="006C02B3" w:rsidRDefault="006C02B3">
      <w:pPr>
        <w:rPr>
          <w:rFonts w:eastAsia="SimSun" w:cstheme="minorHAnsi"/>
          <w:b/>
          <w:color w:val="000000" w:themeColor="text1"/>
          <w:sz w:val="20"/>
          <w:szCs w:val="20"/>
        </w:rPr>
      </w:pPr>
      <w:r>
        <w:br w:type="page"/>
      </w:r>
    </w:p>
    <w:p w14:paraId="18C6BB65" w14:textId="70666420" w:rsidR="00326627" w:rsidRPr="00326627" w:rsidRDefault="009C7513" w:rsidP="00775E17">
      <w:pPr>
        <w:pStyle w:val="Caption"/>
      </w:pPr>
      <w:r w:rsidRPr="00326627">
        <w:t>2b1</w:t>
      </w:r>
      <w:r w:rsidR="00092566" w:rsidRPr="00326627">
        <w:t>.</w:t>
      </w:r>
      <w:r w:rsidR="007757CE" w:rsidRPr="00326627">
        <w:t xml:space="preserve">3. </w:t>
      </w:r>
      <w:r w:rsidR="00833325" w:rsidRPr="00326627">
        <w:t xml:space="preserve">What were the statistical results </w:t>
      </w:r>
      <w:r w:rsidR="007422FD" w:rsidRPr="00326627">
        <w:t xml:space="preserve">from </w:t>
      </w:r>
      <w:r w:rsidR="00EC79DE" w:rsidRPr="00326627">
        <w:t>validity</w:t>
      </w:r>
      <w:r w:rsidR="007422FD" w:rsidRPr="00326627">
        <w:t xml:space="preserve"> testing</w:t>
      </w:r>
      <w:r w:rsidR="00833325" w:rsidRPr="00326627">
        <w:t xml:space="preserve">? </w:t>
      </w:r>
      <w:r w:rsidR="00AA5213" w:rsidRPr="00326627">
        <w:t>(</w:t>
      </w:r>
      <w:r w:rsidR="00AA5213" w:rsidRPr="00326627">
        <w:rPr>
          <w:i/>
        </w:rPr>
        <w:t xml:space="preserve">e.g., correlation; </w:t>
      </w:r>
      <w:r w:rsidR="001F1DA1" w:rsidRPr="00326627">
        <w:rPr>
          <w:i/>
        </w:rPr>
        <w:t>t-test</w:t>
      </w:r>
      <w:r w:rsidR="00AA5213" w:rsidRPr="00326627">
        <w:t>)</w:t>
      </w:r>
      <w:bookmarkStart w:id="60" w:name="_Ref484529011"/>
      <w:bookmarkStart w:id="61" w:name="_Toc478140197"/>
      <w:bookmarkStart w:id="62" w:name="_Toc485898274"/>
      <w:bookmarkStart w:id="63" w:name="_Toc486419635"/>
      <w:bookmarkStart w:id="64" w:name="_Toc487097907"/>
      <w:bookmarkStart w:id="65" w:name="_Toc487104018"/>
      <w:bookmarkStart w:id="66" w:name="_Toc487793031"/>
      <w:bookmarkStart w:id="67" w:name="_Toc490226709"/>
    </w:p>
    <w:p w14:paraId="3FC25AD7" w14:textId="77777777" w:rsidR="0008112C" w:rsidRPr="003F3815" w:rsidRDefault="0008112C" w:rsidP="0008112C">
      <w:pPr>
        <w:pStyle w:val="ListParagraph"/>
        <w:spacing w:after="0" w:line="240" w:lineRule="auto"/>
        <w:ind w:left="0"/>
        <w:outlineLvl w:val="0"/>
        <w:rPr>
          <w:b/>
          <w:bCs/>
          <w:color w:val="0000FF"/>
        </w:rPr>
      </w:pPr>
      <w:r w:rsidRPr="15B07BB9">
        <w:rPr>
          <w:b/>
          <w:bCs/>
          <w:color w:val="0000FF"/>
        </w:rPr>
        <w:t>Systematic Assessment of Face Validity</w:t>
      </w:r>
    </w:p>
    <w:p w14:paraId="6AEFE8E7" w14:textId="6FEA4860" w:rsidR="00775E17" w:rsidRPr="00775E17" w:rsidRDefault="00FE1D8C" w:rsidP="00775E17">
      <w:pPr>
        <w:pStyle w:val="Caption"/>
        <w:rPr>
          <w:rFonts w:eastAsiaTheme="minorEastAsia" w:cstheme="minorBidi"/>
          <w:b w:val="0"/>
          <w:color w:val="0000FF"/>
          <w:sz w:val="22"/>
          <w:szCs w:val="22"/>
        </w:rPr>
      </w:pPr>
      <w:r>
        <w:rPr>
          <w:rFonts w:eastAsiaTheme="minorEastAsia" w:cstheme="minorBidi"/>
          <w:b w:val="0"/>
          <w:color w:val="0000FF"/>
          <w:sz w:val="22"/>
          <w:szCs w:val="22"/>
        </w:rPr>
        <w:t>Nineteen</w:t>
      </w:r>
      <w:r w:rsidR="00775E17" w:rsidRPr="00775E17">
        <w:rPr>
          <w:rFonts w:eastAsiaTheme="minorEastAsia" w:cstheme="minorBidi"/>
          <w:b w:val="0"/>
          <w:color w:val="0000FF"/>
          <w:sz w:val="22"/>
          <w:szCs w:val="22"/>
        </w:rPr>
        <w:t xml:space="preserve"> of the 21 TEP members voted in </w:t>
      </w:r>
      <w:r w:rsidR="00DC5EA0">
        <w:rPr>
          <w:rFonts w:eastAsiaTheme="minorEastAsia" w:cstheme="minorBidi"/>
          <w:b w:val="0"/>
          <w:color w:val="0000FF"/>
          <w:sz w:val="22"/>
          <w:szCs w:val="22"/>
        </w:rPr>
        <w:t>agreement</w:t>
      </w:r>
      <w:r w:rsidR="00DC5EA0" w:rsidRPr="00775E17">
        <w:rPr>
          <w:rFonts w:eastAsiaTheme="minorEastAsia" w:cstheme="minorBidi"/>
          <w:b w:val="0"/>
          <w:color w:val="0000FF"/>
          <w:sz w:val="22"/>
          <w:szCs w:val="22"/>
        </w:rPr>
        <w:t xml:space="preserve"> </w:t>
      </w:r>
      <w:r w:rsidR="00775E17" w:rsidRPr="00775E17">
        <w:rPr>
          <w:rFonts w:eastAsiaTheme="minorEastAsia" w:cstheme="minorBidi"/>
          <w:b w:val="0"/>
          <w:color w:val="0000FF"/>
          <w:sz w:val="22"/>
          <w:szCs w:val="22"/>
        </w:rPr>
        <w:t xml:space="preserve">that the performance scores resulting from the Medication Reconciliation on Admission measure, as specified, can be used to distinguish good from poor facility-level quality related to the process of collecting and reconciling medications on admission to an inpatient facility. </w:t>
      </w:r>
      <w:r>
        <w:rPr>
          <w:rFonts w:eastAsiaTheme="minorEastAsia" w:cstheme="minorBidi"/>
          <w:b w:val="0"/>
          <w:color w:val="0000FF"/>
          <w:sz w:val="22"/>
          <w:szCs w:val="22"/>
        </w:rPr>
        <w:t>Two TEP members</w:t>
      </w:r>
      <w:r w:rsidR="009311A7">
        <w:rPr>
          <w:rFonts w:eastAsiaTheme="minorEastAsia" w:cstheme="minorBidi"/>
          <w:b w:val="0"/>
          <w:color w:val="0000FF"/>
          <w:sz w:val="22"/>
          <w:szCs w:val="22"/>
        </w:rPr>
        <w:t>, who</w:t>
      </w:r>
      <w:r>
        <w:rPr>
          <w:rFonts w:eastAsiaTheme="minorEastAsia" w:cstheme="minorBidi"/>
          <w:b w:val="0"/>
          <w:color w:val="0000FF"/>
          <w:sz w:val="22"/>
          <w:szCs w:val="22"/>
        </w:rPr>
        <w:t xml:space="preserve"> </w:t>
      </w:r>
      <w:r w:rsidR="00716195">
        <w:rPr>
          <w:rFonts w:eastAsiaTheme="minorEastAsia" w:cstheme="minorBidi"/>
          <w:b w:val="0"/>
          <w:color w:val="0000FF"/>
          <w:sz w:val="22"/>
          <w:szCs w:val="22"/>
        </w:rPr>
        <w:t>did not attend the meeting</w:t>
      </w:r>
      <w:r w:rsidR="009311A7">
        <w:rPr>
          <w:rFonts w:eastAsiaTheme="minorEastAsia" w:cstheme="minorBidi"/>
          <w:b w:val="0"/>
          <w:color w:val="0000FF"/>
          <w:sz w:val="22"/>
          <w:szCs w:val="22"/>
        </w:rPr>
        <w:t>, did not vote on face validity</w:t>
      </w:r>
      <w:r>
        <w:rPr>
          <w:rFonts w:eastAsiaTheme="minorEastAsia" w:cstheme="minorBidi"/>
          <w:b w:val="0"/>
          <w:color w:val="0000FF"/>
          <w:sz w:val="22"/>
          <w:szCs w:val="22"/>
        </w:rPr>
        <w:t xml:space="preserve">. </w:t>
      </w:r>
    </w:p>
    <w:bookmarkEnd w:id="60"/>
    <w:bookmarkEnd w:id="61"/>
    <w:bookmarkEnd w:id="62"/>
    <w:bookmarkEnd w:id="63"/>
    <w:bookmarkEnd w:id="64"/>
    <w:bookmarkEnd w:id="65"/>
    <w:bookmarkEnd w:id="66"/>
    <w:bookmarkEnd w:id="67"/>
    <w:p w14:paraId="0CABCFDE" w14:textId="187B5D3B" w:rsidR="007422FD" w:rsidRPr="00092566" w:rsidRDefault="007422FD" w:rsidP="00092566">
      <w:pPr>
        <w:autoSpaceDE w:val="0"/>
        <w:autoSpaceDN w:val="0"/>
        <w:adjustRightInd w:val="0"/>
        <w:spacing w:after="0" w:line="240" w:lineRule="auto"/>
        <w:rPr>
          <w:rFonts w:cstheme="minorHAnsi"/>
          <w:bCs/>
        </w:rPr>
      </w:pPr>
    </w:p>
    <w:p w14:paraId="07494CF8" w14:textId="77777777" w:rsidR="00775E17" w:rsidRPr="00B3121D" w:rsidRDefault="009C7513" w:rsidP="00775E17">
      <w:pPr>
        <w:pStyle w:val="ListParagraph"/>
        <w:spacing w:after="0" w:line="240" w:lineRule="auto"/>
        <w:ind w:left="0"/>
        <w:outlineLvl w:val="0"/>
        <w:rPr>
          <w:b/>
          <w:bCs/>
          <w:color w:val="0000FF"/>
        </w:rPr>
      </w:pPr>
      <w:r>
        <w:rPr>
          <w:rFonts w:cstheme="minorHAnsi"/>
          <w:b/>
          <w:bCs/>
        </w:rPr>
        <w:t>2b1</w:t>
      </w:r>
      <w:r w:rsidR="00092566">
        <w:rPr>
          <w:rFonts w:cstheme="minorHAnsi"/>
          <w:b/>
          <w:bCs/>
        </w:rPr>
        <w:t>.</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775E17" w:rsidRPr="15B07BB9">
        <w:rPr>
          <w:b/>
          <w:bCs/>
          <w:color w:val="0000FF"/>
        </w:rPr>
        <w:t>Systematic Assessment of Face Validity</w:t>
      </w:r>
    </w:p>
    <w:p w14:paraId="0CABCFDF" w14:textId="79AB3F84" w:rsidR="007422FD" w:rsidRPr="00A25024" w:rsidRDefault="00DA0790" w:rsidP="00DB3627">
      <w:pPr>
        <w:autoSpaceDE w:val="0"/>
        <w:autoSpaceDN w:val="0"/>
        <w:adjustRightInd w:val="0"/>
        <w:spacing w:after="0" w:line="240" w:lineRule="auto"/>
        <w:rPr>
          <w:rFonts w:cstheme="minorHAnsi"/>
          <w:bCs/>
        </w:rPr>
      </w:pPr>
      <w:r w:rsidRPr="15B07BB9">
        <w:rPr>
          <w:color w:val="0000FF"/>
        </w:rPr>
        <w:t>The face validity vote (</w:t>
      </w:r>
      <w:r w:rsidR="0003069E">
        <w:rPr>
          <w:color w:val="0000FF"/>
        </w:rPr>
        <w:t>19/</w:t>
      </w:r>
      <w:r w:rsidR="006C02B3">
        <w:rPr>
          <w:color w:val="0000FF"/>
        </w:rPr>
        <w:t>19 voting members</w:t>
      </w:r>
      <w:r w:rsidRPr="15B07BB9">
        <w:rPr>
          <w:color w:val="0000FF"/>
        </w:rPr>
        <w:t xml:space="preserve">, </w:t>
      </w:r>
      <w:r w:rsidR="006C02B3">
        <w:rPr>
          <w:color w:val="0000FF"/>
        </w:rPr>
        <w:t>100</w:t>
      </w:r>
      <w:r w:rsidRPr="15B07BB9">
        <w:rPr>
          <w:color w:val="0000FF"/>
        </w:rPr>
        <w:t xml:space="preserve">%) indicates that the measure is viewed as valid by the TEP, which is representative of key stakeholders and experts from the IPF setting. </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16172981" w14:textId="5366ABD8" w:rsidR="009A3519" w:rsidRDefault="00092566" w:rsidP="00970D2B">
      <w:pPr>
        <w:spacing w:after="0" w:line="240" w:lineRule="auto"/>
        <w:rPr>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r>
      <w:r w:rsidR="00970D2B" w:rsidRPr="00897CEB">
        <w:rPr>
          <w:color w:val="0000FF"/>
        </w:rPr>
        <w:t>The measure applies two exclusion criteria to ensure that it is feasible to complete the medication reconciliation proc</w:t>
      </w:r>
      <w:r w:rsidR="009A3519">
        <w:rPr>
          <w:color w:val="0000FF"/>
        </w:rPr>
        <w:t>ess on admission to the IPF:</w:t>
      </w:r>
    </w:p>
    <w:p w14:paraId="24DB6FF6" w14:textId="20AC3F07" w:rsidR="009A3519" w:rsidRDefault="00FE1D8C" w:rsidP="009A3519">
      <w:pPr>
        <w:pStyle w:val="ListParagraph"/>
        <w:numPr>
          <w:ilvl w:val="0"/>
          <w:numId w:val="30"/>
        </w:numPr>
        <w:spacing w:after="0" w:line="240" w:lineRule="auto"/>
        <w:rPr>
          <w:color w:val="0000FF"/>
        </w:rPr>
      </w:pPr>
      <w:r>
        <w:rPr>
          <w:color w:val="0000FF"/>
        </w:rPr>
        <w:t>Patients t</w:t>
      </w:r>
      <w:r w:rsidR="009A3519" w:rsidRPr="009A3519">
        <w:rPr>
          <w:color w:val="0000FF"/>
        </w:rPr>
        <w:t>ransfer</w:t>
      </w:r>
      <w:r>
        <w:rPr>
          <w:color w:val="0000FF"/>
        </w:rPr>
        <w:t>red</w:t>
      </w:r>
      <w:r w:rsidR="009A3519" w:rsidRPr="009A3519">
        <w:rPr>
          <w:color w:val="0000FF"/>
        </w:rPr>
        <w:t xml:space="preserve"> from an acute care setting</w:t>
      </w:r>
    </w:p>
    <w:p w14:paraId="6464B048" w14:textId="479D6478" w:rsidR="009A3519" w:rsidRPr="009A3519" w:rsidRDefault="00FE1D8C" w:rsidP="009A3519">
      <w:pPr>
        <w:pStyle w:val="ListParagraph"/>
        <w:numPr>
          <w:ilvl w:val="0"/>
          <w:numId w:val="30"/>
        </w:numPr>
        <w:spacing w:after="0" w:line="240" w:lineRule="auto"/>
        <w:rPr>
          <w:color w:val="0000FF"/>
        </w:rPr>
      </w:pPr>
      <w:r>
        <w:rPr>
          <w:color w:val="0000FF"/>
        </w:rPr>
        <w:t>Patient admissions with l</w:t>
      </w:r>
      <w:r w:rsidR="009A3519" w:rsidRPr="009A3519">
        <w:rPr>
          <w:color w:val="0000FF"/>
        </w:rPr>
        <w:t xml:space="preserve">engths of stay </w:t>
      </w:r>
      <w:r w:rsidR="00991A14">
        <w:rPr>
          <w:color w:val="0000FF"/>
        </w:rPr>
        <w:t xml:space="preserve">less than </w:t>
      </w:r>
      <w:r w:rsidR="00915B41">
        <w:rPr>
          <w:color w:val="0000FF"/>
        </w:rPr>
        <w:t xml:space="preserve">or equal to </w:t>
      </w:r>
      <w:r w:rsidR="00991A14">
        <w:rPr>
          <w:color w:val="0000FF"/>
        </w:rPr>
        <w:t>2 days</w:t>
      </w:r>
    </w:p>
    <w:p w14:paraId="3649D5AF" w14:textId="77777777" w:rsidR="009A3519" w:rsidRDefault="009A3519" w:rsidP="00970D2B">
      <w:pPr>
        <w:spacing w:after="0" w:line="240" w:lineRule="auto"/>
        <w:rPr>
          <w:color w:val="0000FF"/>
        </w:rPr>
      </w:pPr>
    </w:p>
    <w:p w14:paraId="260041FE" w14:textId="7D9A3D11" w:rsidR="00991A14" w:rsidRPr="00991A14" w:rsidRDefault="00FE1D8C" w:rsidP="00991A14">
      <w:pPr>
        <w:spacing w:after="0" w:line="240" w:lineRule="auto"/>
        <w:rPr>
          <w:b/>
          <w:bCs/>
          <w:color w:val="0000FF"/>
        </w:rPr>
      </w:pPr>
      <w:r>
        <w:rPr>
          <w:b/>
          <w:bCs/>
          <w:color w:val="0000FF"/>
        </w:rPr>
        <w:t>Patients t</w:t>
      </w:r>
      <w:r w:rsidR="00991A14" w:rsidRPr="00991A14">
        <w:rPr>
          <w:b/>
          <w:bCs/>
          <w:color w:val="0000FF"/>
        </w:rPr>
        <w:t>ransfer</w:t>
      </w:r>
      <w:r>
        <w:rPr>
          <w:b/>
          <w:bCs/>
          <w:color w:val="0000FF"/>
        </w:rPr>
        <w:t>red</w:t>
      </w:r>
      <w:r w:rsidR="00991A14" w:rsidRPr="00991A14">
        <w:rPr>
          <w:b/>
          <w:bCs/>
          <w:color w:val="0000FF"/>
        </w:rPr>
        <w:t xml:space="preserve"> </w:t>
      </w:r>
      <w:r w:rsidR="00991A14">
        <w:rPr>
          <w:b/>
          <w:bCs/>
          <w:color w:val="0000FF"/>
        </w:rPr>
        <w:t>from</w:t>
      </w:r>
      <w:r w:rsidR="00991A14" w:rsidRPr="00991A14">
        <w:rPr>
          <w:b/>
          <w:bCs/>
          <w:color w:val="0000FF"/>
        </w:rPr>
        <w:t xml:space="preserve"> an </w:t>
      </w:r>
      <w:r w:rsidR="00991A14">
        <w:rPr>
          <w:b/>
          <w:bCs/>
          <w:color w:val="0000FF"/>
        </w:rPr>
        <w:t>A</w:t>
      </w:r>
      <w:r w:rsidR="00991A14" w:rsidRPr="00991A14">
        <w:rPr>
          <w:b/>
          <w:bCs/>
          <w:color w:val="0000FF"/>
        </w:rPr>
        <w:t xml:space="preserve">cute </w:t>
      </w:r>
      <w:r w:rsidR="00991A14">
        <w:rPr>
          <w:b/>
          <w:bCs/>
          <w:color w:val="0000FF"/>
        </w:rPr>
        <w:t>C</w:t>
      </w:r>
      <w:r w:rsidR="00991A14" w:rsidRPr="00991A14">
        <w:rPr>
          <w:b/>
          <w:bCs/>
          <w:color w:val="0000FF"/>
        </w:rPr>
        <w:t xml:space="preserve">are </w:t>
      </w:r>
      <w:r w:rsidR="00991A14">
        <w:rPr>
          <w:b/>
          <w:bCs/>
          <w:color w:val="0000FF"/>
        </w:rPr>
        <w:t>S</w:t>
      </w:r>
      <w:r w:rsidR="00991A14" w:rsidRPr="00991A14">
        <w:rPr>
          <w:b/>
          <w:bCs/>
          <w:color w:val="0000FF"/>
        </w:rPr>
        <w:t>etting</w:t>
      </w:r>
    </w:p>
    <w:p w14:paraId="5B5007AF" w14:textId="02C53663" w:rsidR="00991A14" w:rsidRDefault="00FE1D8C" w:rsidP="008864F7">
      <w:pPr>
        <w:spacing w:line="240" w:lineRule="auto"/>
      </w:pPr>
      <w:r w:rsidRPr="008864F7">
        <w:rPr>
          <w:color w:val="0000FF"/>
        </w:rPr>
        <w:t xml:space="preserve">We were unable to test the transfer exclusion in the field testing sample due to the small sample size. Therefore, we conducted analyses in Medicare fee-for-service (FFS) claims data to estimate the impact of the exclusion by determining the frequency of patients transferred from acute care settings in that subset of the IPF patient population. </w:t>
      </w:r>
    </w:p>
    <w:p w14:paraId="35949D7B" w14:textId="28E180A2" w:rsidR="00991A14" w:rsidRPr="00991A14" w:rsidRDefault="00FE1D8C" w:rsidP="00991A14">
      <w:pPr>
        <w:spacing w:after="0" w:line="240" w:lineRule="auto"/>
        <w:rPr>
          <w:b/>
          <w:bCs/>
          <w:color w:val="0000FF"/>
        </w:rPr>
      </w:pPr>
      <w:r>
        <w:rPr>
          <w:b/>
          <w:bCs/>
          <w:color w:val="0000FF"/>
        </w:rPr>
        <w:t xml:space="preserve">Patient Admissions with </w:t>
      </w:r>
      <w:r w:rsidR="00991A14" w:rsidRPr="00991A14">
        <w:rPr>
          <w:b/>
          <w:bCs/>
          <w:color w:val="0000FF"/>
        </w:rPr>
        <w:t xml:space="preserve">Lengths of </w:t>
      </w:r>
      <w:r w:rsidR="00991A14">
        <w:rPr>
          <w:b/>
          <w:bCs/>
          <w:color w:val="0000FF"/>
        </w:rPr>
        <w:t>S</w:t>
      </w:r>
      <w:r w:rsidR="00991A14" w:rsidRPr="00991A14">
        <w:rPr>
          <w:b/>
          <w:bCs/>
          <w:color w:val="0000FF"/>
        </w:rPr>
        <w:t xml:space="preserve">tay </w:t>
      </w:r>
      <w:r w:rsidR="00991A14">
        <w:rPr>
          <w:b/>
          <w:bCs/>
          <w:color w:val="0000FF"/>
        </w:rPr>
        <w:t>L</w:t>
      </w:r>
      <w:r w:rsidR="00991A14" w:rsidRPr="00991A14">
        <w:rPr>
          <w:b/>
          <w:bCs/>
          <w:color w:val="0000FF"/>
        </w:rPr>
        <w:t xml:space="preserve">ess than 2 </w:t>
      </w:r>
      <w:r w:rsidR="00991A14">
        <w:rPr>
          <w:b/>
          <w:bCs/>
          <w:color w:val="0000FF"/>
        </w:rPr>
        <w:t>D</w:t>
      </w:r>
      <w:r w:rsidR="00991A14" w:rsidRPr="00991A14">
        <w:rPr>
          <w:b/>
          <w:bCs/>
          <w:color w:val="0000FF"/>
        </w:rPr>
        <w:t>ays</w:t>
      </w:r>
    </w:p>
    <w:p w14:paraId="4C8FA892" w14:textId="3880A240" w:rsidR="00970D2B" w:rsidRPr="00176E2F" w:rsidRDefault="00C86599" w:rsidP="00970D2B">
      <w:pPr>
        <w:spacing w:after="0" w:line="240" w:lineRule="auto"/>
        <w:rPr>
          <w:color w:val="0000FF"/>
        </w:rPr>
      </w:pPr>
      <w:r>
        <w:rPr>
          <w:color w:val="0000FF"/>
        </w:rPr>
        <w:t xml:space="preserve">Field </w:t>
      </w:r>
      <w:r w:rsidR="00970D2B" w:rsidRPr="00176E2F">
        <w:rPr>
          <w:color w:val="0000FF"/>
        </w:rPr>
        <w:t xml:space="preserve">testing data </w:t>
      </w:r>
      <w:r>
        <w:rPr>
          <w:color w:val="0000FF"/>
        </w:rPr>
        <w:t xml:space="preserve">were used </w:t>
      </w:r>
      <w:r w:rsidR="00970D2B" w:rsidRPr="00176E2F">
        <w:rPr>
          <w:color w:val="0000FF"/>
        </w:rPr>
        <w:t xml:space="preserve">to empirically evaluate when medication reconciliation actions were completed relative to the day of admission. </w:t>
      </w:r>
      <w:r w:rsidR="00176E2F" w:rsidRPr="00176E2F">
        <w:rPr>
          <w:color w:val="0000FF"/>
        </w:rPr>
        <w:t>Table 2b2.2</w:t>
      </w:r>
      <w:r w:rsidR="00970D2B" w:rsidRPr="00176E2F">
        <w:rPr>
          <w:color w:val="0000FF"/>
        </w:rPr>
        <w:t xml:space="preserve"> contains all records with complete medication reconciliation for all medications on the PTA medication list (467 records with a range of 15 to 79 per facility). The table shows the percentage of those records that had completed the medication reconciliation in one day increments of time from admission. </w:t>
      </w:r>
    </w:p>
    <w:p w14:paraId="0CABCFE5" w14:textId="77777777" w:rsidR="00833325" w:rsidRPr="00897CEB" w:rsidRDefault="00833325" w:rsidP="00DB3627">
      <w:pPr>
        <w:autoSpaceDE w:val="0"/>
        <w:autoSpaceDN w:val="0"/>
        <w:adjustRightInd w:val="0"/>
        <w:spacing w:after="0" w:line="240" w:lineRule="auto"/>
        <w:rPr>
          <w:color w:val="0000FF"/>
        </w:rPr>
      </w:pPr>
    </w:p>
    <w:p w14:paraId="0CABCFE6" w14:textId="2640B14A"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6011D39E" w14:textId="4F6B619F" w:rsidR="00D278AD" w:rsidRPr="00991A14" w:rsidRDefault="00E37D2A" w:rsidP="00D278AD">
      <w:pPr>
        <w:spacing w:after="0" w:line="240" w:lineRule="auto"/>
        <w:rPr>
          <w:b/>
          <w:bCs/>
          <w:color w:val="0000FF"/>
        </w:rPr>
      </w:pPr>
      <w:bookmarkStart w:id="68" w:name="_Ref490070586"/>
      <w:bookmarkStart w:id="69" w:name="_Toc490226703"/>
      <w:r>
        <w:rPr>
          <w:b/>
          <w:bCs/>
          <w:color w:val="0000FF"/>
        </w:rPr>
        <w:t xml:space="preserve">Patients </w:t>
      </w:r>
      <w:r w:rsidR="00D278AD" w:rsidRPr="00991A14">
        <w:rPr>
          <w:b/>
          <w:bCs/>
          <w:color w:val="0000FF"/>
        </w:rPr>
        <w:t>Transfer</w:t>
      </w:r>
      <w:r>
        <w:rPr>
          <w:b/>
          <w:bCs/>
          <w:color w:val="0000FF"/>
        </w:rPr>
        <w:t>red</w:t>
      </w:r>
      <w:r w:rsidR="00D278AD" w:rsidRPr="00991A14">
        <w:rPr>
          <w:b/>
          <w:bCs/>
          <w:color w:val="0000FF"/>
        </w:rPr>
        <w:t xml:space="preserve"> </w:t>
      </w:r>
      <w:r w:rsidR="00D278AD">
        <w:rPr>
          <w:b/>
          <w:bCs/>
          <w:color w:val="0000FF"/>
        </w:rPr>
        <w:t>from</w:t>
      </w:r>
      <w:r w:rsidR="00D278AD" w:rsidRPr="00991A14">
        <w:rPr>
          <w:b/>
          <w:bCs/>
          <w:color w:val="0000FF"/>
        </w:rPr>
        <w:t xml:space="preserve"> an </w:t>
      </w:r>
      <w:r w:rsidR="00D278AD">
        <w:rPr>
          <w:b/>
          <w:bCs/>
          <w:color w:val="0000FF"/>
        </w:rPr>
        <w:t>A</w:t>
      </w:r>
      <w:r w:rsidR="00D278AD" w:rsidRPr="00991A14">
        <w:rPr>
          <w:b/>
          <w:bCs/>
          <w:color w:val="0000FF"/>
        </w:rPr>
        <w:t xml:space="preserve">cute </w:t>
      </w:r>
      <w:r w:rsidR="00D278AD">
        <w:rPr>
          <w:b/>
          <w:bCs/>
          <w:color w:val="0000FF"/>
        </w:rPr>
        <w:t>C</w:t>
      </w:r>
      <w:r w:rsidR="00D278AD" w:rsidRPr="00991A14">
        <w:rPr>
          <w:b/>
          <w:bCs/>
          <w:color w:val="0000FF"/>
        </w:rPr>
        <w:t xml:space="preserve">are </w:t>
      </w:r>
      <w:r w:rsidR="00D278AD">
        <w:rPr>
          <w:b/>
          <w:bCs/>
          <w:color w:val="0000FF"/>
        </w:rPr>
        <w:t>S</w:t>
      </w:r>
      <w:r w:rsidR="00D278AD" w:rsidRPr="00991A14">
        <w:rPr>
          <w:b/>
          <w:bCs/>
          <w:color w:val="0000FF"/>
        </w:rPr>
        <w:t>etting</w:t>
      </w:r>
    </w:p>
    <w:p w14:paraId="72C82033" w14:textId="6EC607CB" w:rsidR="00D278AD" w:rsidRDefault="00FE1D8C" w:rsidP="006C02B3">
      <w:pPr>
        <w:spacing w:after="0" w:line="240" w:lineRule="auto"/>
        <w:rPr>
          <w:color w:val="0000FF"/>
        </w:rPr>
      </w:pPr>
      <w:r w:rsidRPr="003243A3">
        <w:rPr>
          <w:color w:val="0000FF"/>
        </w:rPr>
        <w:t>Results showed that there were 443,708 Medicare IPF admissions between October 1, 2015, and September 30, 2016. Of these, 26.3% (116,545/443,708) were admissions from transfers from an acute care setting.</w:t>
      </w:r>
      <w:r w:rsidRPr="00FE1D8C">
        <w:rPr>
          <w:color w:val="0000FF"/>
        </w:rPr>
        <w:t xml:space="preserve"> </w:t>
      </w:r>
    </w:p>
    <w:p w14:paraId="3E25E81D" w14:textId="77777777" w:rsidR="00E37D2A" w:rsidRPr="00FE1D8C" w:rsidRDefault="00E37D2A" w:rsidP="00D278AD">
      <w:pPr>
        <w:spacing w:after="0"/>
        <w:rPr>
          <w:color w:val="0000FF"/>
        </w:rPr>
      </w:pPr>
    </w:p>
    <w:p w14:paraId="0FC446A2" w14:textId="77777777" w:rsidR="006C02B3" w:rsidRDefault="006C02B3">
      <w:pPr>
        <w:rPr>
          <w:b/>
          <w:bCs/>
          <w:color w:val="0000FF"/>
        </w:rPr>
      </w:pPr>
      <w:r>
        <w:rPr>
          <w:b/>
          <w:bCs/>
          <w:color w:val="0000FF"/>
        </w:rPr>
        <w:br w:type="page"/>
      </w:r>
    </w:p>
    <w:p w14:paraId="73BD4E36" w14:textId="4C846FDD" w:rsidR="00D278AD" w:rsidRPr="00991A14" w:rsidRDefault="00E37D2A" w:rsidP="00D278AD">
      <w:pPr>
        <w:spacing w:after="0" w:line="240" w:lineRule="auto"/>
        <w:rPr>
          <w:b/>
          <w:bCs/>
          <w:color w:val="0000FF"/>
        </w:rPr>
      </w:pPr>
      <w:r>
        <w:rPr>
          <w:b/>
          <w:bCs/>
          <w:color w:val="0000FF"/>
        </w:rPr>
        <w:t xml:space="preserve">Patient Admissions with </w:t>
      </w:r>
      <w:r w:rsidR="00D278AD" w:rsidRPr="00991A14">
        <w:rPr>
          <w:b/>
          <w:bCs/>
          <w:color w:val="0000FF"/>
        </w:rPr>
        <w:t xml:space="preserve">Lengths of </w:t>
      </w:r>
      <w:r w:rsidR="00D278AD">
        <w:rPr>
          <w:b/>
          <w:bCs/>
          <w:color w:val="0000FF"/>
        </w:rPr>
        <w:t>S</w:t>
      </w:r>
      <w:r w:rsidR="00D278AD" w:rsidRPr="00991A14">
        <w:rPr>
          <w:b/>
          <w:bCs/>
          <w:color w:val="0000FF"/>
        </w:rPr>
        <w:t xml:space="preserve">tay </w:t>
      </w:r>
      <w:r w:rsidR="00D278AD">
        <w:rPr>
          <w:b/>
          <w:bCs/>
          <w:color w:val="0000FF"/>
        </w:rPr>
        <w:t>L</w:t>
      </w:r>
      <w:r w:rsidR="00D278AD" w:rsidRPr="00991A14">
        <w:rPr>
          <w:b/>
          <w:bCs/>
          <w:color w:val="0000FF"/>
        </w:rPr>
        <w:t xml:space="preserve">ess than </w:t>
      </w:r>
      <w:r w:rsidR="003243A3">
        <w:rPr>
          <w:b/>
          <w:bCs/>
          <w:color w:val="0000FF"/>
        </w:rPr>
        <w:t xml:space="preserve">or equal to </w:t>
      </w:r>
      <w:r w:rsidR="00D278AD" w:rsidRPr="00991A14">
        <w:rPr>
          <w:b/>
          <w:bCs/>
          <w:color w:val="0000FF"/>
        </w:rPr>
        <w:t xml:space="preserve">2 </w:t>
      </w:r>
      <w:r w:rsidR="00D278AD">
        <w:rPr>
          <w:b/>
          <w:bCs/>
          <w:color w:val="0000FF"/>
        </w:rPr>
        <w:t>D</w:t>
      </w:r>
      <w:r w:rsidR="00D278AD" w:rsidRPr="00991A14">
        <w:rPr>
          <w:b/>
          <w:bCs/>
          <w:color w:val="0000FF"/>
        </w:rPr>
        <w:t>ays</w:t>
      </w:r>
    </w:p>
    <w:p w14:paraId="5A969070" w14:textId="2A92A0AD" w:rsidR="00970D2B" w:rsidRPr="00D41EE1" w:rsidRDefault="00970D2B" w:rsidP="00970D2B">
      <w:pPr>
        <w:pStyle w:val="Caption"/>
      </w:pPr>
      <w:r>
        <w:t xml:space="preserve">Table </w:t>
      </w:r>
      <w:bookmarkEnd w:id="68"/>
      <w:r w:rsidR="00176E2F">
        <w:t>2b2.2</w:t>
      </w:r>
      <w:r w:rsidRPr="00D41EE1">
        <w:t xml:space="preserve"> </w:t>
      </w:r>
      <w:r>
        <w:t xml:space="preserve">Percentage of Records with Completed Medication Reconciliation Actions </w:t>
      </w:r>
      <w:r w:rsidRPr="008B12B4">
        <w:t xml:space="preserve">by </w:t>
      </w:r>
      <w:r>
        <w:t>Day W</w:t>
      </w:r>
      <w:r w:rsidRPr="008B12B4">
        <w:t xml:space="preserve">hen </w:t>
      </w:r>
      <w:r>
        <w:t>A</w:t>
      </w:r>
      <w:r w:rsidRPr="008B12B4">
        <w:t xml:space="preserve">ll </w:t>
      </w:r>
      <w:r>
        <w:t>PTA Medications in the Record Were R</w:t>
      </w:r>
      <w:r w:rsidRPr="008B12B4">
        <w:t>econciled</w:t>
      </w:r>
      <w:bookmarkEnd w:id="69"/>
      <w:r>
        <w:t xml:space="preserve"> </w:t>
      </w:r>
    </w:p>
    <w:tbl>
      <w:tblPr>
        <w:tblStyle w:val="ListTable3-Accent1"/>
        <w:tblW w:w="9955" w:type="dxa"/>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CellMar>
          <w:left w:w="58" w:type="dxa"/>
          <w:right w:w="58" w:type="dxa"/>
        </w:tblCellMar>
        <w:tblLook w:val="04A0" w:firstRow="1" w:lastRow="0" w:firstColumn="1" w:lastColumn="0" w:noHBand="0" w:noVBand="1"/>
      </w:tblPr>
      <w:tblGrid>
        <w:gridCol w:w="1075"/>
        <w:gridCol w:w="630"/>
        <w:gridCol w:w="676"/>
        <w:gridCol w:w="699"/>
        <w:gridCol w:w="698"/>
        <w:gridCol w:w="699"/>
        <w:gridCol w:w="698"/>
        <w:gridCol w:w="699"/>
        <w:gridCol w:w="698"/>
        <w:gridCol w:w="699"/>
        <w:gridCol w:w="734"/>
        <w:gridCol w:w="810"/>
        <w:gridCol w:w="1140"/>
      </w:tblGrid>
      <w:tr w:rsidR="00897CEB" w:rsidRPr="00897CEB" w14:paraId="2A6F1D79" w14:textId="77777777" w:rsidTr="00897CEB">
        <w:trPr>
          <w:cnfStyle w:val="100000000000" w:firstRow="1" w:lastRow="0" w:firstColumn="0" w:lastColumn="0" w:oddVBand="0" w:evenVBand="0" w:oddHBand="0" w:evenHBand="0" w:firstRowFirstColumn="0" w:firstRowLastColumn="0" w:lastRowFirstColumn="0" w:lastRowLastColumn="0"/>
          <w:trHeight w:val="20"/>
          <w:tblHeader/>
        </w:trPr>
        <w:tc>
          <w:tcPr>
            <w:cnfStyle w:val="001000000100" w:firstRow="0" w:lastRow="0" w:firstColumn="1" w:lastColumn="0" w:oddVBand="0" w:evenVBand="0" w:oddHBand="0" w:evenHBand="0" w:firstRowFirstColumn="1" w:firstRowLastColumn="0" w:lastRowFirstColumn="0" w:lastRowLastColumn="0"/>
            <w:tcW w:w="1075" w:type="dxa"/>
            <w:shd w:val="clear" w:color="auto" w:fill="365F91" w:themeFill="accent1" w:themeFillShade="BF"/>
            <w:noWrap/>
            <w:vAlign w:val="center"/>
            <w:hideMark/>
          </w:tcPr>
          <w:p w14:paraId="5D2FF752" w14:textId="77777777" w:rsidR="00970D2B" w:rsidRPr="00897CEB" w:rsidRDefault="00970D2B" w:rsidP="00970D2B">
            <w:pPr>
              <w:autoSpaceDE w:val="0"/>
              <w:autoSpaceDN w:val="0"/>
              <w:adjustRightInd w:val="0"/>
              <w:rPr>
                <w:rFonts w:eastAsia="Calibri" w:cs="Calibri"/>
                <w:sz w:val="20"/>
                <w:szCs w:val="20"/>
              </w:rPr>
            </w:pPr>
            <w:r w:rsidRPr="00897CEB">
              <w:rPr>
                <w:rFonts w:eastAsia="Calibri" w:cs="Calibri"/>
                <w:kern w:val="24"/>
                <w:sz w:val="20"/>
                <w:szCs w:val="20"/>
              </w:rPr>
              <w:t>Days</w:t>
            </w:r>
          </w:p>
        </w:tc>
        <w:tc>
          <w:tcPr>
            <w:tcW w:w="630" w:type="dxa"/>
            <w:shd w:val="clear" w:color="auto" w:fill="365F91" w:themeFill="accent1" w:themeFillShade="BF"/>
            <w:noWrap/>
            <w:vAlign w:val="center"/>
            <w:hideMark/>
          </w:tcPr>
          <w:p w14:paraId="142FEE71"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1</w:t>
            </w:r>
          </w:p>
          <w:p w14:paraId="0DDB1CE0"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n=68</w:t>
            </w:r>
          </w:p>
        </w:tc>
        <w:tc>
          <w:tcPr>
            <w:tcW w:w="676" w:type="dxa"/>
            <w:shd w:val="clear" w:color="auto" w:fill="365F91" w:themeFill="accent1" w:themeFillShade="BF"/>
            <w:noWrap/>
            <w:vAlign w:val="center"/>
            <w:hideMark/>
          </w:tcPr>
          <w:p w14:paraId="29EF7D37"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2</w:t>
            </w:r>
          </w:p>
          <w:p w14:paraId="63A37787"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sz w:val="20"/>
                <w:szCs w:val="20"/>
              </w:rPr>
              <w:t>n=65</w:t>
            </w:r>
          </w:p>
        </w:tc>
        <w:tc>
          <w:tcPr>
            <w:tcW w:w="699" w:type="dxa"/>
            <w:shd w:val="clear" w:color="auto" w:fill="365F91" w:themeFill="accent1" w:themeFillShade="BF"/>
            <w:noWrap/>
            <w:vAlign w:val="center"/>
            <w:hideMark/>
          </w:tcPr>
          <w:p w14:paraId="112D5A00"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3</w:t>
            </w:r>
          </w:p>
          <w:p w14:paraId="13E27151"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n=58</w:t>
            </w:r>
          </w:p>
        </w:tc>
        <w:tc>
          <w:tcPr>
            <w:tcW w:w="698" w:type="dxa"/>
            <w:shd w:val="clear" w:color="auto" w:fill="365F91" w:themeFill="accent1" w:themeFillShade="BF"/>
            <w:noWrap/>
            <w:vAlign w:val="center"/>
            <w:hideMark/>
          </w:tcPr>
          <w:p w14:paraId="7121F68E"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4</w:t>
            </w:r>
          </w:p>
          <w:p w14:paraId="3EFCA663"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sz w:val="20"/>
                <w:szCs w:val="20"/>
              </w:rPr>
              <w:t>n=69</w:t>
            </w:r>
          </w:p>
        </w:tc>
        <w:tc>
          <w:tcPr>
            <w:tcW w:w="699" w:type="dxa"/>
            <w:shd w:val="clear" w:color="auto" w:fill="365F91" w:themeFill="accent1" w:themeFillShade="BF"/>
            <w:noWrap/>
            <w:vAlign w:val="center"/>
            <w:hideMark/>
          </w:tcPr>
          <w:p w14:paraId="7D880717"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5</w:t>
            </w:r>
          </w:p>
          <w:p w14:paraId="66850978"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sz w:val="20"/>
                <w:szCs w:val="20"/>
              </w:rPr>
              <w:t>n=49</w:t>
            </w:r>
          </w:p>
        </w:tc>
        <w:tc>
          <w:tcPr>
            <w:tcW w:w="698" w:type="dxa"/>
            <w:shd w:val="clear" w:color="auto" w:fill="365F91" w:themeFill="accent1" w:themeFillShade="BF"/>
            <w:noWrap/>
            <w:vAlign w:val="center"/>
            <w:hideMark/>
          </w:tcPr>
          <w:p w14:paraId="18C93436"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6</w:t>
            </w:r>
          </w:p>
          <w:p w14:paraId="79E4B981"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n=15</w:t>
            </w:r>
          </w:p>
        </w:tc>
        <w:tc>
          <w:tcPr>
            <w:tcW w:w="699" w:type="dxa"/>
            <w:shd w:val="clear" w:color="auto" w:fill="365F91" w:themeFill="accent1" w:themeFillShade="BF"/>
            <w:noWrap/>
            <w:vAlign w:val="center"/>
            <w:hideMark/>
          </w:tcPr>
          <w:p w14:paraId="56AD8B6A"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7</w:t>
            </w:r>
          </w:p>
          <w:p w14:paraId="5ACA3D98"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n=44</w:t>
            </w:r>
          </w:p>
        </w:tc>
        <w:tc>
          <w:tcPr>
            <w:tcW w:w="698" w:type="dxa"/>
            <w:shd w:val="clear" w:color="auto" w:fill="365F91" w:themeFill="accent1" w:themeFillShade="BF"/>
            <w:noWrap/>
            <w:vAlign w:val="center"/>
            <w:hideMark/>
          </w:tcPr>
          <w:p w14:paraId="1BA9D320"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8</w:t>
            </w:r>
          </w:p>
          <w:p w14:paraId="5D154379"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n=79</w:t>
            </w:r>
          </w:p>
        </w:tc>
        <w:tc>
          <w:tcPr>
            <w:tcW w:w="699" w:type="dxa"/>
            <w:shd w:val="clear" w:color="auto" w:fill="365F91" w:themeFill="accent1" w:themeFillShade="BF"/>
            <w:noWrap/>
            <w:vAlign w:val="center"/>
            <w:hideMark/>
          </w:tcPr>
          <w:p w14:paraId="13CA526D"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IPF 9</w:t>
            </w:r>
          </w:p>
          <w:p w14:paraId="53C8CE6D"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n=20</w:t>
            </w:r>
          </w:p>
        </w:tc>
        <w:tc>
          <w:tcPr>
            <w:tcW w:w="734" w:type="dxa"/>
            <w:shd w:val="clear" w:color="auto" w:fill="365F91" w:themeFill="accent1" w:themeFillShade="BF"/>
            <w:vAlign w:val="center"/>
          </w:tcPr>
          <w:p w14:paraId="59A41997"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Facility</w:t>
            </w:r>
          </w:p>
          <w:p w14:paraId="0776A893"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kern w:val="24"/>
                <w:sz w:val="20"/>
                <w:szCs w:val="20"/>
              </w:rPr>
            </w:pPr>
            <w:r w:rsidRPr="00897CEB">
              <w:rPr>
                <w:rFonts w:eastAsia="Calibri" w:cs="Calibri"/>
                <w:kern w:val="24"/>
                <w:sz w:val="20"/>
                <w:szCs w:val="20"/>
              </w:rPr>
              <w:t>Avg</w:t>
            </w:r>
          </w:p>
        </w:tc>
        <w:tc>
          <w:tcPr>
            <w:tcW w:w="810" w:type="dxa"/>
            <w:shd w:val="clear" w:color="auto" w:fill="365F91" w:themeFill="accent1" w:themeFillShade="BF"/>
            <w:vAlign w:val="center"/>
          </w:tcPr>
          <w:p w14:paraId="6E2DC666"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 Across Records</w:t>
            </w:r>
          </w:p>
        </w:tc>
        <w:tc>
          <w:tcPr>
            <w:tcW w:w="1140" w:type="dxa"/>
            <w:shd w:val="clear" w:color="auto" w:fill="365F91" w:themeFill="accent1" w:themeFillShade="BF"/>
            <w:vAlign w:val="center"/>
          </w:tcPr>
          <w:p w14:paraId="6D211D54" w14:textId="77777777" w:rsidR="00970D2B" w:rsidRPr="00897CEB" w:rsidRDefault="00970D2B" w:rsidP="00970D2B">
            <w:pPr>
              <w:autoSpaceDE w:val="0"/>
              <w:autoSpaceDN w:val="0"/>
              <w:adjustRightInd w:val="0"/>
              <w:jc w:val="center"/>
              <w:cnfStyle w:val="100000000000" w:firstRow="1" w:lastRow="0" w:firstColumn="0" w:lastColumn="0" w:oddVBand="0" w:evenVBand="0" w:oddHBand="0" w:evenHBand="0" w:firstRowFirstColumn="0" w:firstRowLastColumn="0" w:lastRowFirstColumn="0" w:lastRowLastColumn="0"/>
              <w:rPr>
                <w:rFonts w:eastAsia="Calibri" w:cs="Calibri"/>
                <w:sz w:val="20"/>
                <w:szCs w:val="20"/>
              </w:rPr>
            </w:pPr>
            <w:r w:rsidRPr="00897CEB">
              <w:rPr>
                <w:rFonts w:eastAsia="Calibri" w:cs="Calibri"/>
                <w:kern w:val="24"/>
                <w:sz w:val="20"/>
                <w:szCs w:val="20"/>
              </w:rPr>
              <w:t>Cumulative % Across Records</w:t>
            </w:r>
          </w:p>
        </w:tc>
      </w:tr>
      <w:tr w:rsidR="00970D2B" w:rsidRPr="008030E4" w14:paraId="56312357" w14:textId="77777777" w:rsidTr="00970D2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3CA6B79"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rPr>
              <w:t>Day 0</w:t>
            </w:r>
          </w:p>
        </w:tc>
        <w:tc>
          <w:tcPr>
            <w:tcW w:w="630"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789C37F"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30.9</w:t>
            </w:r>
          </w:p>
        </w:tc>
        <w:tc>
          <w:tcPr>
            <w:tcW w:w="676"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B1D9E00"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7.7</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A434F0D"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27.6</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33C7287"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95.7</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1025F7D"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4.1</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3160BF7"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FD5B622"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95.5</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64B9010E"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25.3</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86A5399"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10.0</w:t>
            </w:r>
          </w:p>
        </w:tc>
        <w:tc>
          <w:tcPr>
            <w:tcW w:w="7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1215E270"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33.0</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C9C8B99"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37.3</w:t>
            </w:r>
          </w:p>
        </w:tc>
        <w:tc>
          <w:tcPr>
            <w:tcW w:w="11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CA44D2A" w14:textId="77777777" w:rsidR="00970D2B" w:rsidRPr="5306D724" w:rsidRDefault="00970D2B" w:rsidP="00970D2B">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37.3</w:t>
            </w:r>
          </w:p>
        </w:tc>
      </w:tr>
      <w:tr w:rsidR="00970D2B" w:rsidRPr="008030E4" w14:paraId="5E08DE13" w14:textId="77777777" w:rsidTr="00970D2B">
        <w:trPr>
          <w:trHeight w:val="2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625ADB4"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rPr>
              <w:t>Day 1</w:t>
            </w:r>
          </w:p>
        </w:tc>
        <w:tc>
          <w:tcPr>
            <w:tcW w:w="630"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5E8597D9"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66.2</w:t>
            </w:r>
          </w:p>
        </w:tc>
        <w:tc>
          <w:tcPr>
            <w:tcW w:w="676"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61F4848"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75.4</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924D3F0"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25.9</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54E37999"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2.9</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5BCD380"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61.2</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80AA513"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26.7</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B6B9FFF"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4.6</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AE5C82A"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73.4</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C3CB485"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55.0</w:t>
            </w:r>
          </w:p>
        </w:tc>
        <w:tc>
          <w:tcPr>
            <w:tcW w:w="7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FE6342C"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43.5</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D6C5E5D" w14:textId="77777777" w:rsidR="00970D2B" w:rsidRPr="00EF411D"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46.3</w:t>
            </w:r>
          </w:p>
        </w:tc>
        <w:tc>
          <w:tcPr>
            <w:tcW w:w="11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516D0295" w14:textId="77777777" w:rsidR="00970D2B" w:rsidRPr="5306D724" w:rsidRDefault="00970D2B" w:rsidP="00970D2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83.5</w:t>
            </w:r>
          </w:p>
        </w:tc>
      </w:tr>
      <w:tr w:rsidR="00970D2B" w:rsidRPr="008030E4" w14:paraId="4C912362" w14:textId="77777777" w:rsidTr="00970D2B">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53C77D7"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rPr>
              <w:t>Day 2</w:t>
            </w:r>
          </w:p>
        </w:tc>
        <w:tc>
          <w:tcPr>
            <w:tcW w:w="630"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BCE2D06"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2.9</w:t>
            </w:r>
          </w:p>
        </w:tc>
        <w:tc>
          <w:tcPr>
            <w:tcW w:w="676"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FA228AE"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9.2</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AFF6B75"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12.1</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3CA55F3"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4501B13"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18.4</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502B92E6"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20.0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2AF6A15"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E856A05"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1.3</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F40F2BF"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15.0</w:t>
            </w:r>
          </w:p>
        </w:tc>
        <w:tc>
          <w:tcPr>
            <w:tcW w:w="7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9AD5450"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8.8</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988737B" w14:textId="77777777" w:rsidR="00970D2B" w:rsidRPr="00EF411D"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6.6</w:t>
            </w:r>
          </w:p>
        </w:tc>
        <w:tc>
          <w:tcPr>
            <w:tcW w:w="11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42C2F72C" w14:textId="77777777" w:rsidR="00970D2B" w:rsidRPr="5306D724" w:rsidRDefault="00970D2B" w:rsidP="00970D2B">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90.2</w:t>
            </w:r>
          </w:p>
        </w:tc>
      </w:tr>
      <w:tr w:rsidR="00970D2B" w:rsidRPr="008030E4" w14:paraId="386FB336" w14:textId="77777777" w:rsidTr="00970D2B">
        <w:trPr>
          <w:trHeight w:val="2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77073C9E"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rPr>
              <w:t xml:space="preserve">Day 3 </w:t>
            </w:r>
          </w:p>
        </w:tc>
        <w:tc>
          <w:tcPr>
            <w:tcW w:w="630"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6BAD6751"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76"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76617A3F"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49BAB6A"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6.9</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30BC3F8"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6569DF5A"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4.1</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9AA6CDE"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6.7</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A1F4D14"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6DDCB63B"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747D797" w14:textId="77777777" w:rsidR="00970D2B" w:rsidRPr="00F2787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5.0</w:t>
            </w:r>
          </w:p>
        </w:tc>
        <w:tc>
          <w:tcPr>
            <w:tcW w:w="7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A2693E6"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2.5</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2504A271"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1.7</w:t>
            </w:r>
          </w:p>
        </w:tc>
        <w:tc>
          <w:tcPr>
            <w:tcW w:w="11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DD89242" w14:textId="77777777" w:rsidR="00970D2B" w:rsidRPr="5306D724" w:rsidRDefault="00970D2B" w:rsidP="00970D2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91.9</w:t>
            </w:r>
          </w:p>
        </w:tc>
      </w:tr>
      <w:tr w:rsidR="00970D2B" w:rsidRPr="008030E4" w14:paraId="455F41BE" w14:textId="77777777" w:rsidTr="00970D2B">
        <w:trPr>
          <w:cnfStyle w:val="000000100000" w:firstRow="0" w:lastRow="0" w:firstColumn="0" w:lastColumn="0" w:oddVBand="0" w:evenVBand="0" w:oddHBand="1" w:evenHBand="0" w:firstRowFirstColumn="0" w:firstRowLastColumn="0" w:lastRowFirstColumn="0" w:lastRowLastColumn="0"/>
          <w:trHeight w:val="287"/>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03AF22A"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u w:val="single"/>
              </w:rPr>
              <w:t>&gt;</w:t>
            </w:r>
            <w:r w:rsidRPr="1B319BFB">
              <w:rPr>
                <w:rFonts w:eastAsia="Calibri" w:cs="Calibri"/>
                <w:color w:val="000000" w:themeColor="text1"/>
                <w:kern w:val="24"/>
                <w:sz w:val="20"/>
                <w:szCs w:val="20"/>
              </w:rPr>
              <w:t xml:space="preserve"> Day 4 </w:t>
            </w:r>
          </w:p>
        </w:tc>
        <w:tc>
          <w:tcPr>
            <w:tcW w:w="630"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6068FD0A"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76"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6C042EC"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7.7</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8D42CDB"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27.6</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4EC98E39"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1.5</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2561F12F"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12.2</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396E4EB3"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57CDEC76"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11F556FE"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auto"/>
              <w:right w:val="single" w:sz="4" w:space="0" w:color="000000" w:themeColor="text1"/>
            </w:tcBorders>
            <w:noWrap/>
            <w:vAlign w:val="center"/>
          </w:tcPr>
          <w:p w14:paraId="0C1705E0" w14:textId="77777777" w:rsidR="00970D2B" w:rsidRPr="00F2787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eastAsia="Calibri" w:cs="Calibri"/>
                <w:color w:val="000000" w:themeColor="text1"/>
                <w:sz w:val="20"/>
                <w:szCs w:val="20"/>
              </w:rPr>
            </w:pPr>
            <w:r w:rsidRPr="00F2787B">
              <w:rPr>
                <w:rFonts w:eastAsia="Calibri" w:cs="Calibri"/>
                <w:color w:val="000000" w:themeColor="text1"/>
                <w:sz w:val="20"/>
                <w:szCs w:val="20"/>
              </w:rPr>
              <w:t>15.0</w:t>
            </w:r>
          </w:p>
        </w:tc>
        <w:tc>
          <w:tcPr>
            <w:tcW w:w="734"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6A490D4F"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7.1</w:t>
            </w:r>
          </w:p>
        </w:tc>
        <w:tc>
          <w:tcPr>
            <w:tcW w:w="81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0F906C9D" w14:textId="77777777" w:rsidR="00970D2B" w:rsidRDefault="00970D2B" w:rsidP="00970D2B">
            <w:pPr>
              <w:autoSpaceDE w:val="0"/>
              <w:autoSpaceDN w:val="0"/>
              <w:adjustRightInd w:val="0"/>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6.6</w:t>
            </w:r>
          </w:p>
        </w:tc>
        <w:tc>
          <w:tcPr>
            <w:tcW w:w="1140" w:type="dxa"/>
            <w:tcBorders>
              <w:top w:val="single" w:sz="4" w:space="0" w:color="000000" w:themeColor="text1"/>
              <w:left w:val="single" w:sz="4" w:space="0" w:color="000000" w:themeColor="text1"/>
              <w:bottom w:val="single" w:sz="4" w:space="0" w:color="auto"/>
              <w:right w:val="single" w:sz="4" w:space="0" w:color="000000" w:themeColor="text1"/>
            </w:tcBorders>
            <w:vAlign w:val="center"/>
          </w:tcPr>
          <w:p w14:paraId="32A37F81" w14:textId="77777777" w:rsidR="00970D2B" w:rsidRPr="5306D724" w:rsidRDefault="00970D2B" w:rsidP="00970D2B">
            <w:pPr>
              <w:jc w:val="center"/>
              <w:cnfStyle w:val="000000100000" w:firstRow="0" w:lastRow="0" w:firstColumn="0" w:lastColumn="0" w:oddVBand="0" w:evenVBand="0" w:oddHBand="1" w:evenHBand="0" w:firstRowFirstColumn="0" w:firstRowLastColumn="0" w:lastRowFirstColumn="0" w:lastRowLastColumn="0"/>
              <w:rPr>
                <w:rFonts w:ascii="Calibri" w:hAnsi="Calibri"/>
                <w:color w:val="000000" w:themeColor="text1"/>
                <w:sz w:val="20"/>
                <w:szCs w:val="20"/>
              </w:rPr>
            </w:pPr>
            <w:r w:rsidRPr="00A149EB">
              <w:rPr>
                <w:rFonts w:ascii="Calibri" w:hAnsi="Calibri"/>
                <w:color w:val="000000" w:themeColor="text1"/>
                <w:sz w:val="20"/>
                <w:szCs w:val="20"/>
              </w:rPr>
              <w:t>98.6</w:t>
            </w:r>
          </w:p>
        </w:tc>
      </w:tr>
      <w:tr w:rsidR="00970D2B" w:rsidRPr="008030E4" w14:paraId="227C41DC" w14:textId="77777777" w:rsidTr="00970D2B">
        <w:trPr>
          <w:trHeight w:val="20"/>
        </w:trPr>
        <w:tc>
          <w:tcPr>
            <w:cnfStyle w:val="001000000000" w:firstRow="0" w:lastRow="0" w:firstColumn="1" w:lastColumn="0" w:oddVBand="0" w:evenVBand="0" w:oddHBand="0" w:evenHBand="0" w:firstRowFirstColumn="0" w:firstRowLastColumn="0" w:lastRowFirstColumn="0" w:lastRowLastColumn="0"/>
            <w:tcW w:w="1075"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7269F39B" w14:textId="77777777" w:rsidR="00970D2B" w:rsidRPr="00F2787B" w:rsidRDefault="00970D2B" w:rsidP="00970D2B">
            <w:pPr>
              <w:autoSpaceDE w:val="0"/>
              <w:autoSpaceDN w:val="0"/>
              <w:adjustRightInd w:val="0"/>
              <w:rPr>
                <w:rFonts w:eastAsia="Calibri" w:cs="Calibri"/>
                <w:color w:val="000000" w:themeColor="text1"/>
                <w:sz w:val="20"/>
                <w:szCs w:val="20"/>
              </w:rPr>
            </w:pPr>
            <w:r w:rsidRPr="1B319BFB">
              <w:rPr>
                <w:rFonts w:eastAsia="Calibri" w:cs="Calibri"/>
                <w:color w:val="000000" w:themeColor="text1"/>
                <w:kern w:val="24"/>
                <w:sz w:val="20"/>
                <w:szCs w:val="20"/>
              </w:rPr>
              <w:t>Records with incomplete times</w:t>
            </w:r>
          </w:p>
        </w:tc>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5B37C7D"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76"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31BBB8ED"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09B23D0F"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15DD1D94"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EC461EC"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EED8C8D"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46.7</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6A35D3B0"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2E06F84E"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69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vAlign w:val="center"/>
          </w:tcPr>
          <w:p w14:paraId="5C709B5B"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0.0</w:t>
            </w:r>
          </w:p>
        </w:tc>
        <w:tc>
          <w:tcPr>
            <w:tcW w:w="7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04D5C9" w14:textId="77777777" w:rsidR="00970D2B"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5.2</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8A7728" w14:textId="77777777" w:rsidR="00970D2B" w:rsidRPr="1729EBB2" w:rsidRDefault="00970D2B" w:rsidP="00970D2B">
            <w:pPr>
              <w:autoSpaceDE w:val="0"/>
              <w:autoSpaceDN w:val="0"/>
              <w:adjustRightInd w:val="0"/>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1.5</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0A0C07" w14:textId="77777777" w:rsidR="00970D2B" w:rsidRPr="5306D724" w:rsidRDefault="00970D2B" w:rsidP="00970D2B">
            <w:pPr>
              <w:jc w:val="center"/>
              <w:cnfStyle w:val="000000000000" w:firstRow="0" w:lastRow="0" w:firstColumn="0" w:lastColumn="0" w:oddVBand="0" w:evenVBand="0" w:oddHBand="0" w:evenHBand="0" w:firstRowFirstColumn="0" w:firstRowLastColumn="0" w:lastRowFirstColumn="0" w:lastRowLastColumn="0"/>
              <w:rPr>
                <w:rFonts w:ascii="Calibri" w:hAnsi="Calibri"/>
                <w:color w:val="000000" w:themeColor="text1"/>
                <w:sz w:val="20"/>
                <w:szCs w:val="20"/>
              </w:rPr>
            </w:pPr>
            <w:r w:rsidRPr="00F2787B">
              <w:rPr>
                <w:rFonts w:ascii="Calibri" w:hAnsi="Calibri"/>
                <w:color w:val="000000" w:themeColor="text1"/>
                <w:sz w:val="20"/>
                <w:szCs w:val="20"/>
              </w:rPr>
              <w:t>100.0</w:t>
            </w:r>
          </w:p>
        </w:tc>
      </w:tr>
    </w:tbl>
    <w:p w14:paraId="0CABCFE7" w14:textId="5E928EBF" w:rsidR="00092566" w:rsidRPr="009D3882" w:rsidRDefault="00970D2B" w:rsidP="00092566">
      <w:pPr>
        <w:autoSpaceDE w:val="0"/>
        <w:autoSpaceDN w:val="0"/>
        <w:adjustRightInd w:val="0"/>
        <w:spacing w:after="0" w:line="240" w:lineRule="auto"/>
        <w:rPr>
          <w:rFonts w:cstheme="minorHAnsi"/>
          <w:bCs/>
          <w:sz w:val="12"/>
        </w:rPr>
      </w:pPr>
      <w:r w:rsidRPr="00A25024">
        <w:rPr>
          <w:rFonts w:cstheme="minorHAnsi"/>
          <w:bCs/>
        </w:rPr>
        <w:t xml:space="preserve"> </w:t>
      </w:r>
    </w:p>
    <w:p w14:paraId="79D10A8E" w14:textId="483E2EA9" w:rsidR="004A6B52" w:rsidRDefault="00092566" w:rsidP="004A6B52">
      <w:pPr>
        <w:spacing w:after="0" w:line="240" w:lineRule="auto"/>
        <w:rPr>
          <w:color w:val="0000FF"/>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2F09DDE3" w14:textId="186CB6BA" w:rsidR="001845B9" w:rsidRPr="00991A14" w:rsidRDefault="00E37D2A" w:rsidP="001845B9">
      <w:pPr>
        <w:spacing w:after="0" w:line="240" w:lineRule="auto"/>
        <w:rPr>
          <w:b/>
          <w:bCs/>
          <w:color w:val="0000FF"/>
        </w:rPr>
      </w:pPr>
      <w:r>
        <w:rPr>
          <w:b/>
          <w:bCs/>
          <w:color w:val="0000FF"/>
        </w:rPr>
        <w:t xml:space="preserve">Patients </w:t>
      </w:r>
      <w:r w:rsidR="001845B9" w:rsidRPr="00991A14">
        <w:rPr>
          <w:b/>
          <w:bCs/>
          <w:color w:val="0000FF"/>
        </w:rPr>
        <w:t>Transfer</w:t>
      </w:r>
      <w:r>
        <w:rPr>
          <w:b/>
          <w:bCs/>
          <w:color w:val="0000FF"/>
        </w:rPr>
        <w:t>red</w:t>
      </w:r>
      <w:r w:rsidR="001845B9" w:rsidRPr="00991A14">
        <w:rPr>
          <w:b/>
          <w:bCs/>
          <w:color w:val="0000FF"/>
        </w:rPr>
        <w:t xml:space="preserve"> </w:t>
      </w:r>
      <w:r w:rsidR="001845B9">
        <w:rPr>
          <w:b/>
          <w:bCs/>
          <w:color w:val="0000FF"/>
        </w:rPr>
        <w:t>from</w:t>
      </w:r>
      <w:r w:rsidR="001845B9" w:rsidRPr="00991A14">
        <w:rPr>
          <w:b/>
          <w:bCs/>
          <w:color w:val="0000FF"/>
        </w:rPr>
        <w:t xml:space="preserve"> an </w:t>
      </w:r>
      <w:r w:rsidR="001845B9">
        <w:rPr>
          <w:b/>
          <w:bCs/>
          <w:color w:val="0000FF"/>
        </w:rPr>
        <w:t>A</w:t>
      </w:r>
      <w:r w:rsidR="001845B9" w:rsidRPr="00991A14">
        <w:rPr>
          <w:b/>
          <w:bCs/>
          <w:color w:val="0000FF"/>
        </w:rPr>
        <w:t xml:space="preserve">cute </w:t>
      </w:r>
      <w:r w:rsidR="001845B9">
        <w:rPr>
          <w:b/>
          <w:bCs/>
          <w:color w:val="0000FF"/>
        </w:rPr>
        <w:t>C</w:t>
      </w:r>
      <w:r w:rsidR="001845B9" w:rsidRPr="00991A14">
        <w:rPr>
          <w:b/>
          <w:bCs/>
          <w:color w:val="0000FF"/>
        </w:rPr>
        <w:t xml:space="preserve">are </w:t>
      </w:r>
      <w:r w:rsidR="001845B9">
        <w:rPr>
          <w:b/>
          <w:bCs/>
          <w:color w:val="0000FF"/>
        </w:rPr>
        <w:t>S</w:t>
      </w:r>
      <w:r w:rsidR="001845B9" w:rsidRPr="00991A14">
        <w:rPr>
          <w:b/>
          <w:bCs/>
          <w:color w:val="0000FF"/>
        </w:rPr>
        <w:t>etting</w:t>
      </w:r>
    </w:p>
    <w:p w14:paraId="5C75DB64" w14:textId="51573599" w:rsidR="00D278AD" w:rsidRDefault="00D278AD" w:rsidP="001845B9">
      <w:pPr>
        <w:spacing w:after="0" w:line="240" w:lineRule="auto"/>
        <w:rPr>
          <w:color w:val="0000FF"/>
        </w:rPr>
      </w:pPr>
      <w:r w:rsidRPr="004F7F30">
        <w:rPr>
          <w:color w:val="0000FF"/>
        </w:rPr>
        <w:t xml:space="preserve">Results show that </w:t>
      </w:r>
      <w:r w:rsidR="00E37D2A" w:rsidRPr="004F7F30">
        <w:rPr>
          <w:color w:val="0000FF"/>
        </w:rPr>
        <w:t>approximately one quarter</w:t>
      </w:r>
      <w:r w:rsidRPr="004F7F30">
        <w:rPr>
          <w:color w:val="0000FF"/>
        </w:rPr>
        <w:t xml:space="preserve"> of IPF </w:t>
      </w:r>
      <w:r w:rsidR="00CB233B" w:rsidRPr="004F7F30">
        <w:rPr>
          <w:rFonts w:cstheme="minorHAnsi"/>
          <w:color w:val="0000FF"/>
        </w:rPr>
        <w:t xml:space="preserve">patient </w:t>
      </w:r>
      <w:r w:rsidRPr="004F7F30">
        <w:rPr>
          <w:color w:val="0000FF"/>
        </w:rPr>
        <w:t>admissions were admitted from an acute</w:t>
      </w:r>
      <w:r>
        <w:rPr>
          <w:color w:val="0000FF"/>
        </w:rPr>
        <w:t xml:space="preserve"> care setting. These results </w:t>
      </w:r>
      <w:r w:rsidRPr="00D278AD">
        <w:rPr>
          <w:color w:val="0000FF"/>
        </w:rPr>
        <w:t>may not be completely generalizable to IPF admissions reimbursed by other insurers or to uninsured patients. However, because the measure will be abstracted using a sample rather than the entire population, the Measure Developer anticipates that the narrower measure population will have a minimal impact on the facility-level denominators.</w:t>
      </w:r>
      <w:r w:rsidR="00E37D2A">
        <w:rPr>
          <w:color w:val="0000FF"/>
        </w:rPr>
        <w:t xml:space="preserve"> Given that the medication reconciliation process is different for patients transferred from an acute care setting and including these patients could distort measure results, it is appropriate to exclude them from the measure.</w:t>
      </w:r>
    </w:p>
    <w:p w14:paraId="42A1E0C8" w14:textId="77777777" w:rsidR="00D278AD" w:rsidRDefault="00D278AD" w:rsidP="001845B9">
      <w:pPr>
        <w:spacing w:after="0" w:line="240" w:lineRule="auto"/>
        <w:rPr>
          <w:color w:val="0000FF"/>
        </w:rPr>
      </w:pPr>
    </w:p>
    <w:p w14:paraId="05003E90" w14:textId="096B930F" w:rsidR="001845B9" w:rsidRPr="00991A14" w:rsidRDefault="00E37D2A" w:rsidP="001845B9">
      <w:pPr>
        <w:spacing w:after="0" w:line="240" w:lineRule="auto"/>
        <w:rPr>
          <w:b/>
          <w:bCs/>
          <w:color w:val="0000FF"/>
        </w:rPr>
      </w:pPr>
      <w:r>
        <w:rPr>
          <w:b/>
          <w:bCs/>
          <w:color w:val="0000FF"/>
        </w:rPr>
        <w:t xml:space="preserve">Patient Admissions with </w:t>
      </w:r>
      <w:r w:rsidR="001845B9" w:rsidRPr="00991A14">
        <w:rPr>
          <w:b/>
          <w:bCs/>
          <w:color w:val="0000FF"/>
        </w:rPr>
        <w:t xml:space="preserve">Lengths of </w:t>
      </w:r>
      <w:r w:rsidR="001845B9">
        <w:rPr>
          <w:b/>
          <w:bCs/>
          <w:color w:val="0000FF"/>
        </w:rPr>
        <w:t>S</w:t>
      </w:r>
      <w:r w:rsidR="001845B9" w:rsidRPr="00991A14">
        <w:rPr>
          <w:b/>
          <w:bCs/>
          <w:color w:val="0000FF"/>
        </w:rPr>
        <w:t xml:space="preserve">tay </w:t>
      </w:r>
      <w:r w:rsidR="001845B9">
        <w:rPr>
          <w:b/>
          <w:bCs/>
          <w:color w:val="0000FF"/>
        </w:rPr>
        <w:t>L</w:t>
      </w:r>
      <w:r w:rsidR="001845B9" w:rsidRPr="00991A14">
        <w:rPr>
          <w:b/>
          <w:bCs/>
          <w:color w:val="0000FF"/>
        </w:rPr>
        <w:t xml:space="preserve">ess than </w:t>
      </w:r>
      <w:r w:rsidR="006B6031">
        <w:rPr>
          <w:b/>
          <w:bCs/>
          <w:color w:val="0000FF"/>
        </w:rPr>
        <w:t xml:space="preserve">or equal to </w:t>
      </w:r>
      <w:r w:rsidR="001845B9" w:rsidRPr="00991A14">
        <w:rPr>
          <w:b/>
          <w:bCs/>
          <w:color w:val="0000FF"/>
        </w:rPr>
        <w:t xml:space="preserve">2 </w:t>
      </w:r>
      <w:r w:rsidR="001845B9">
        <w:rPr>
          <w:b/>
          <w:bCs/>
          <w:color w:val="0000FF"/>
        </w:rPr>
        <w:t>D</w:t>
      </w:r>
      <w:r w:rsidR="001845B9" w:rsidRPr="00991A14">
        <w:rPr>
          <w:b/>
          <w:bCs/>
          <w:color w:val="0000FF"/>
        </w:rPr>
        <w:t>ays</w:t>
      </w:r>
    </w:p>
    <w:p w14:paraId="0CABCFE8" w14:textId="4E38B36C" w:rsidR="007422FD" w:rsidRPr="00A25024" w:rsidRDefault="004A6B52" w:rsidP="001845B9">
      <w:pPr>
        <w:spacing w:after="0" w:line="240" w:lineRule="auto"/>
        <w:rPr>
          <w:rFonts w:cstheme="minorHAnsi"/>
          <w:bCs/>
        </w:rPr>
      </w:pPr>
      <w:r w:rsidRPr="00176E2F">
        <w:rPr>
          <w:color w:val="0000FF"/>
        </w:rPr>
        <w:t xml:space="preserve">Results show that 90.2% of records were completely reconciled by the end of Day 2. In other words, if medication reconciliation </w:t>
      </w:r>
      <w:r w:rsidR="00043E61" w:rsidRPr="00176E2F">
        <w:rPr>
          <w:color w:val="0000FF"/>
        </w:rPr>
        <w:t>w</w:t>
      </w:r>
      <w:r w:rsidR="00043E61">
        <w:rPr>
          <w:color w:val="0000FF"/>
        </w:rPr>
        <w:t>ere</w:t>
      </w:r>
      <w:r w:rsidR="00043E61" w:rsidRPr="00176E2F">
        <w:rPr>
          <w:color w:val="0000FF"/>
        </w:rPr>
        <w:t xml:space="preserve"> </w:t>
      </w:r>
      <w:r w:rsidRPr="00176E2F">
        <w:rPr>
          <w:color w:val="0000FF"/>
        </w:rPr>
        <w:t xml:space="preserve">completed, turn-around time rarely exceeded three calendar days from admission (or beyond the end of Day 2). Based on these results and the recommendation from the TEP, the measure excludes admissions that are discharged on or before Day 2 of the admission to ensure medication reconciliation can be feasibly completed for the majority of patients. </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70" w:name="section2b4"/>
      <w:bookmarkEnd w:id="70"/>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3044F2D3" w:rsidR="00033038" w:rsidRPr="005232D6" w:rsidRDefault="006C0C2A"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E37D2A">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6C0C2A"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6C0C2A"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6C0C2A"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A1E352E" w14:textId="77777777" w:rsidR="00AF2D68" w:rsidRDefault="00AF2D68" w:rsidP="009D3882">
      <w:pPr>
        <w:rPr>
          <w:rFonts w:cs="Calibri"/>
          <w:b/>
          <w:bCs/>
        </w:rPr>
      </w:pPr>
    </w:p>
    <w:p w14:paraId="0CABCFF4" w14:textId="72F05C9F" w:rsidR="009D3882" w:rsidRP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p>
    <w:p w14:paraId="0CABCFF6" w14:textId="6B194552"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r w:rsidR="00092566" w:rsidRPr="00A25024">
        <w:rPr>
          <w:rFonts w:cstheme="minorHAnsi"/>
          <w:bCs/>
        </w:rPr>
        <w:br/>
      </w: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How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0659D6E" w:rsidR="00275563" w:rsidRPr="005232D6" w:rsidRDefault="006C0C2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6BA683BB" w:rsidR="00275563" w:rsidRPr="005232D6" w:rsidRDefault="006C0C2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6C0C2A"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77777777" w:rsidR="00275563" w:rsidRDefault="00275563" w:rsidP="00001D73">
      <w:pPr>
        <w:autoSpaceDE w:val="0"/>
        <w:autoSpaceDN w:val="0"/>
        <w:adjustRightInd w:val="0"/>
        <w:spacing w:after="0" w:line="240" w:lineRule="auto"/>
        <w:rPr>
          <w:rFonts w:cstheme="minorHAnsi"/>
          <w:b/>
          <w:bCs/>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r w:rsidR="00001D73">
        <w:rPr>
          <w:rFonts w:cstheme="minorHAnsi"/>
          <w:b/>
          <w:bCs/>
        </w:rPr>
        <w:br/>
      </w:r>
    </w:p>
    <w:p w14:paraId="0CABCFF8" w14:textId="350A0D85"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77777777" w:rsidR="00C1695E" w:rsidRPr="00001D73" w:rsidRDefault="00C1695E" w:rsidP="00001D73">
      <w:pPr>
        <w:autoSpaceDE w:val="0"/>
        <w:autoSpaceDN w:val="0"/>
        <w:adjustRightInd w:val="0"/>
        <w:spacing w:after="0" w:line="240" w:lineRule="auto"/>
        <w:rPr>
          <w:rFonts w:cstheme="minorHAnsi"/>
          <w:b/>
          <w:bCs/>
        </w:rPr>
      </w:pPr>
    </w:p>
    <w:p w14:paraId="0CABCFFA" w14:textId="5F1D568F"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0CABCFFD" w14:textId="79D5D7A7" w:rsidR="00001D73" w:rsidRPr="00001D73"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0CABCFFE" w14:textId="57E7DDD4" w:rsidR="00001D73" w:rsidRDefault="009C7513" w:rsidP="00092566">
      <w:pPr>
        <w:autoSpaceDE w:val="0"/>
        <w:autoSpaceDN w:val="0"/>
        <w:adjustRightInd w:val="0"/>
        <w:spacing w:after="0" w:line="240" w:lineRule="auto"/>
        <w:rPr>
          <w:rFonts w:cstheme="minorHAnsi"/>
          <w:b/>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0CABCFFF" w14:textId="7ECFB7AA" w:rsidR="00743E46" w:rsidRDefault="009C7513" w:rsidP="00092566">
      <w:pPr>
        <w:autoSpaceDE w:val="0"/>
        <w:autoSpaceDN w:val="0"/>
        <w:adjustRightInd w:val="0"/>
        <w:spacing w:after="0" w:line="240" w:lineRule="auto"/>
        <w:rPr>
          <w:rFonts w:cstheme="minorHAnsi"/>
          <w:b/>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71" w:name="question2b49"/>
      <w:bookmarkEnd w:id="71"/>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77777777" w:rsidR="00092566" w:rsidRPr="00A25024" w:rsidRDefault="00092566" w:rsidP="00092566">
      <w:pPr>
        <w:pStyle w:val="ListParagraph"/>
        <w:rPr>
          <w:rFonts w:cstheme="minorHAnsi"/>
          <w:bCs/>
        </w:rPr>
      </w:pPr>
    </w:p>
    <w:p w14:paraId="0CABD002" w14:textId="35305BFC"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72" w:name="section2b5"/>
      <w:bookmarkEnd w:id="72"/>
      <w:r>
        <w:rPr>
          <w:rFonts w:cstheme="minorHAnsi"/>
          <w:b/>
          <w:bCs/>
        </w:rPr>
        <w:t>2b4</w:t>
      </w:r>
      <w:r w:rsidR="00D61410" w:rsidRPr="00A25024">
        <w:rPr>
          <w:rFonts w:cstheme="minorHAnsi"/>
          <w:b/>
          <w:bCs/>
        </w:rPr>
        <w:t>. IDENTIFICATION OF STATISTICALLY SIGNIFICANT &amp; MEANINGFUL DIFFERENCES IN PERFORMANCE</w:t>
      </w:r>
    </w:p>
    <w:p w14:paraId="2D01B512" w14:textId="71551B5A" w:rsidR="00134763" w:rsidRDefault="009C7513" w:rsidP="00134763">
      <w:pPr>
        <w:pStyle w:val="ListParagraph"/>
        <w:spacing w:line="240" w:lineRule="auto"/>
        <w:ind w:left="0"/>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w:t>
      </w:r>
    </w:p>
    <w:p w14:paraId="5AA1507E" w14:textId="70169291" w:rsidR="00134763" w:rsidRPr="00134763" w:rsidRDefault="00134763" w:rsidP="00134763">
      <w:pPr>
        <w:pStyle w:val="ListParagraph"/>
        <w:spacing w:before="120" w:after="0" w:line="240" w:lineRule="auto"/>
        <w:ind w:left="0"/>
        <w:contextualSpacing w:val="0"/>
        <w:rPr>
          <w:color w:val="0000FF"/>
        </w:rPr>
      </w:pPr>
      <w:r w:rsidRPr="00134763">
        <w:rPr>
          <w:color w:val="0000FF"/>
        </w:rPr>
        <w:t xml:space="preserve">To determine statistically significant differences across the small sample of testing facilities, the </w:t>
      </w:r>
      <w:r w:rsidRPr="00134763">
        <w:rPr>
          <w:color w:val="0000FF"/>
          <w:lang w:eastAsia="zh-CN"/>
        </w:rPr>
        <w:t>M</w:t>
      </w:r>
      <w:r w:rsidRPr="00134763">
        <w:rPr>
          <w:color w:val="0000FF"/>
        </w:rPr>
        <w:t>easure Developer calculated the final scores and 95% confidence intervals for each facility using the following formula:</w:t>
      </w:r>
    </w:p>
    <w:p w14:paraId="7999C5EA" w14:textId="3076C8C7" w:rsidR="00134763" w:rsidRPr="00134763" w:rsidRDefault="00134763" w:rsidP="00134763">
      <w:pPr>
        <w:spacing w:before="120" w:after="120" w:line="240" w:lineRule="auto"/>
        <w:rPr>
          <w:color w:val="0000FF"/>
        </w:rPr>
      </w:pPr>
      <w:r w:rsidRPr="00134763">
        <w:rPr>
          <w:color w:val="0000FF"/>
        </w:rPr>
        <w:t>S</w:t>
      </w:r>
      <w:r w:rsidRPr="00134763">
        <w:rPr>
          <w:color w:val="0000FF"/>
          <w:vertAlign w:val="subscript"/>
        </w:rPr>
        <w:t>final score</w:t>
      </w:r>
      <w:r w:rsidRPr="00134763">
        <w:rPr>
          <w:color w:val="0000FF"/>
        </w:rPr>
        <w:t xml:space="preserve"> = 100 * p </w:t>
      </w:r>
    </w:p>
    <w:p w14:paraId="1B4AA18A" w14:textId="07006652" w:rsidR="00134763" w:rsidRPr="00134763" w:rsidRDefault="00134763" w:rsidP="00134763">
      <w:pPr>
        <w:spacing w:before="120" w:after="120" w:line="240" w:lineRule="auto"/>
        <w:rPr>
          <w:color w:val="0000FF"/>
        </w:rPr>
      </w:pPr>
      <w:r w:rsidRPr="00134763">
        <w:rPr>
          <w:color w:val="0000FF"/>
        </w:rPr>
        <w:t>Se</w:t>
      </w:r>
      <w:r w:rsidRPr="00134763">
        <w:rPr>
          <w:color w:val="0000FF"/>
          <w:vertAlign w:val="subscript"/>
        </w:rPr>
        <w:t>final score</w:t>
      </w:r>
      <w:r w:rsidRPr="00134763">
        <w:rPr>
          <w:color w:val="0000FF"/>
        </w:rPr>
        <w:t xml:space="preserve"> =</w:t>
      </w:r>
      <m:oMath>
        <m:r>
          <m:rPr>
            <m:sty m:val="p"/>
          </m:rPr>
          <w:rPr>
            <w:rFonts w:ascii="Cambria Math" w:hAnsi="Cambria Math"/>
            <w:color w:val="0000FF"/>
          </w:rPr>
          <m:t xml:space="preserve">100* </m:t>
        </m:r>
        <m:rad>
          <m:radPr>
            <m:degHide m:val="1"/>
            <m:ctrlPr>
              <w:rPr>
                <w:rFonts w:ascii="Cambria Math" w:hAnsi="Cambria Math"/>
                <w:color w:val="0000FF"/>
              </w:rPr>
            </m:ctrlPr>
          </m:radPr>
          <m:deg/>
          <m:e>
            <m:f>
              <m:fPr>
                <m:ctrlPr>
                  <w:rPr>
                    <w:rFonts w:ascii="Cambria Math" w:hAnsi="Cambria Math"/>
                    <w:color w:val="0000FF"/>
                  </w:rPr>
                </m:ctrlPr>
              </m:fPr>
              <m:num>
                <m:r>
                  <w:rPr>
                    <w:rFonts w:ascii="Cambria Math" w:hAnsi="Cambria Math"/>
                    <w:color w:val="0000FF"/>
                  </w:rPr>
                  <m:t>p (1-p)</m:t>
                </m:r>
              </m:num>
              <m:den>
                <m:r>
                  <w:rPr>
                    <w:rFonts w:ascii="Cambria Math" w:hAnsi="Cambria Math"/>
                    <w:color w:val="0000FF"/>
                  </w:rPr>
                  <m:t>n</m:t>
                </m:r>
              </m:den>
            </m:f>
          </m:e>
        </m:rad>
      </m:oMath>
      <w:r w:rsidRPr="00134763">
        <w:rPr>
          <w:color w:val="0000FF"/>
        </w:rPr>
        <w:t>, where p represents the proportion of patients meeting all four criteria in the study population and follows a binomial distribution. The 95% confidence interval for the final score is: S</w:t>
      </w:r>
      <w:r w:rsidRPr="00134763">
        <w:rPr>
          <w:color w:val="0000FF"/>
          <w:vertAlign w:val="subscript"/>
        </w:rPr>
        <w:t>final score</w:t>
      </w:r>
      <w:r w:rsidRPr="00134763">
        <w:rPr>
          <w:color w:val="0000FF"/>
        </w:rPr>
        <w:t xml:space="preserve"> ± 1.96* Se</w:t>
      </w:r>
      <w:r w:rsidRPr="00134763">
        <w:rPr>
          <w:color w:val="0000FF"/>
          <w:vertAlign w:val="subscript"/>
        </w:rPr>
        <w:t>final score</w:t>
      </w:r>
      <w:r w:rsidRPr="00134763">
        <w:rPr>
          <w:color w:val="0000FF"/>
        </w:rPr>
        <w:t xml:space="preserve">. </w:t>
      </w:r>
    </w:p>
    <w:p w14:paraId="0CABD009" w14:textId="1DF2028B" w:rsidR="00D61410" w:rsidRPr="00A25024" w:rsidRDefault="00134763" w:rsidP="00134763">
      <w:pPr>
        <w:autoSpaceDE w:val="0"/>
        <w:autoSpaceDN w:val="0"/>
        <w:adjustRightInd w:val="0"/>
        <w:spacing w:before="120" w:after="120" w:line="240" w:lineRule="auto"/>
        <w:rPr>
          <w:rFonts w:cstheme="minorHAnsi"/>
          <w:bCs/>
        </w:rPr>
      </w:pPr>
      <w:r w:rsidRPr="00134763">
        <w:rPr>
          <w:color w:val="0000FF"/>
        </w:rPr>
        <w:t>Visual examination of a forest plot depicting measure scores and 95% confidence intervals for each facility was used to illustrate whether a given pair of IPFs has statistically significant differences in performance.</w:t>
      </w:r>
      <w:r w:rsidR="00D61410" w:rsidRPr="00134763">
        <w:rPr>
          <w:rFonts w:cstheme="minorHAnsi"/>
          <w:bCs/>
          <w:color w:val="0000FF"/>
        </w:rPr>
        <w:t xml:space="preserve"> </w:t>
      </w:r>
    </w:p>
    <w:p w14:paraId="302A1C20" w14:textId="77777777" w:rsidR="006C02B3" w:rsidRDefault="006C02B3" w:rsidP="00C57A35">
      <w:pPr>
        <w:spacing w:after="0" w:line="240" w:lineRule="auto"/>
        <w:rPr>
          <w:rFonts w:cstheme="minorHAnsi"/>
          <w:b/>
          <w:bCs/>
        </w:rPr>
      </w:pPr>
    </w:p>
    <w:p w14:paraId="597CC284" w14:textId="77777777" w:rsidR="006C02B3" w:rsidRDefault="006C02B3">
      <w:pPr>
        <w:rPr>
          <w:rFonts w:cstheme="minorHAnsi"/>
          <w:b/>
          <w:bCs/>
        </w:rPr>
      </w:pPr>
      <w:r>
        <w:rPr>
          <w:rFonts w:cstheme="minorHAnsi"/>
          <w:b/>
          <w:bCs/>
        </w:rPr>
        <w:br w:type="page"/>
      </w:r>
    </w:p>
    <w:p w14:paraId="000238F9" w14:textId="5A85C8FF" w:rsidR="00917121" w:rsidRDefault="009C7513" w:rsidP="00C57A35">
      <w:pPr>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E93F829" w14:textId="77777777" w:rsidR="00917121" w:rsidRDefault="00917121" w:rsidP="00C57A35">
      <w:pPr>
        <w:spacing w:after="0" w:line="240" w:lineRule="auto"/>
        <w:rPr>
          <w:rFonts w:cstheme="minorHAnsi"/>
          <w:bCs/>
        </w:rPr>
      </w:pPr>
    </w:p>
    <w:p w14:paraId="44BAB0F6" w14:textId="7E9C6965" w:rsidR="00C57A35" w:rsidRPr="00C57A35" w:rsidRDefault="00092107" w:rsidP="00D37E46">
      <w:pPr>
        <w:keepNext/>
        <w:spacing w:after="0" w:line="240" w:lineRule="auto"/>
        <w:rPr>
          <w:color w:val="0000FF"/>
        </w:rPr>
      </w:pPr>
      <w:r>
        <w:rPr>
          <w:color w:val="0000FF"/>
        </w:rPr>
        <w:t xml:space="preserve">Figure 2b4.2 </w:t>
      </w:r>
      <w:r w:rsidR="00C57A35" w:rsidRPr="00C57A35">
        <w:rPr>
          <w:color w:val="0000FF"/>
        </w:rPr>
        <w:t xml:space="preserve">displays </w:t>
      </w:r>
      <w:r w:rsidR="00D37E46">
        <w:rPr>
          <w:color w:val="0000FF"/>
        </w:rPr>
        <w:t xml:space="preserve">a forest plot of </w:t>
      </w:r>
      <w:r w:rsidR="00C57A35" w:rsidRPr="00C57A35">
        <w:rPr>
          <w:color w:val="0000FF"/>
        </w:rPr>
        <w:t xml:space="preserve">facility scores with 95% confidence intervals (CI) sorted by score. </w:t>
      </w:r>
      <w:bookmarkStart w:id="73" w:name="_Toc475523632"/>
    </w:p>
    <w:p w14:paraId="4923B8D0" w14:textId="525AC6BC" w:rsidR="00C57A35" w:rsidRPr="002819E9" w:rsidRDefault="00C57A35" w:rsidP="00C57A35">
      <w:pPr>
        <w:pStyle w:val="Caption"/>
      </w:pPr>
      <w:bookmarkStart w:id="74" w:name="_Toc478140183"/>
      <w:bookmarkStart w:id="75" w:name="_Toc485898263"/>
      <w:bookmarkStart w:id="76" w:name="_Toc486419624"/>
      <w:bookmarkStart w:id="77" w:name="_Toc487097896"/>
      <w:bookmarkStart w:id="78" w:name="_Toc487104007"/>
      <w:bookmarkStart w:id="79" w:name="_Toc490226711"/>
      <w:bookmarkEnd w:id="73"/>
      <w:r w:rsidRPr="00C57A35">
        <w:t xml:space="preserve">Figure 2b4.2 </w:t>
      </w:r>
      <w:r w:rsidRPr="002819E9">
        <w:t>Facility Measure Scores with 95% Confidence Intervals</w:t>
      </w:r>
      <w:bookmarkEnd w:id="74"/>
      <w:bookmarkEnd w:id="75"/>
      <w:bookmarkEnd w:id="76"/>
      <w:bookmarkEnd w:id="77"/>
      <w:bookmarkEnd w:id="78"/>
      <w:bookmarkEnd w:id="79"/>
    </w:p>
    <w:p w14:paraId="0CABD00B" w14:textId="245C3663" w:rsidR="00D61410" w:rsidRPr="00927027" w:rsidRDefault="00C57A35" w:rsidP="0058406E">
      <w:pPr>
        <w:rPr>
          <w:rFonts w:cstheme="minorHAnsi"/>
          <w:bCs/>
        </w:rPr>
      </w:pPr>
      <w:r>
        <w:rPr>
          <w:noProof/>
        </w:rPr>
        <w:drawing>
          <wp:inline distT="0" distB="0" distL="0" distR="0" wp14:anchorId="19732ACC" wp14:editId="723D8748">
            <wp:extent cx="4114800" cy="3200400"/>
            <wp:effectExtent l="0" t="0" r="0" b="0"/>
            <wp:docPr id="3" name="Picture 3" descr="Figure 1 is a chart showing the facility-level scores and the 95% confidence intervals for each score. Each IPF is identified on the y-axis. The x-axis displays the scores as a percent from 0 to 100. " title="Figure 1. Facility Measure Scores with 95% Confidence Interv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14800" cy="3200400"/>
                    </a:xfrm>
                    <a:prstGeom prst="rect">
                      <a:avLst/>
                    </a:prstGeom>
                  </pic:spPr>
                </pic:pic>
              </a:graphicData>
            </a:graphic>
          </wp:inline>
        </w:drawing>
      </w:r>
    </w:p>
    <w:p w14:paraId="65B257F6" w14:textId="24806FC2" w:rsidR="0058406E" w:rsidRDefault="009C7513" w:rsidP="0058406E">
      <w:pPr>
        <w:spacing w:before="120" w:after="0" w:line="240" w:lineRule="auto"/>
        <w:rPr>
          <w:color w:val="0000FF"/>
        </w:rPr>
      </w:pPr>
      <w:r>
        <w:rPr>
          <w:rFonts w:cstheme="minorHAnsi"/>
          <w:b/>
          <w:bCs/>
        </w:rPr>
        <w:t>2b4</w:t>
      </w:r>
      <w:r w:rsidR="00D61410">
        <w:rPr>
          <w:rFonts w:cstheme="minorHAnsi"/>
          <w:b/>
          <w:bCs/>
        </w:rPr>
        <w:t xml:space="preserve">.3. </w:t>
      </w:r>
      <w:r w:rsidR="00D61410" w:rsidRPr="00A25024">
        <w:rPr>
          <w:rFonts w:cstheme="minorHAnsi"/>
          <w:b/>
          <w:bCs/>
        </w:rPr>
        <w:t>What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0CABD00C" w14:textId="7FFB45D1" w:rsidR="00D61410" w:rsidRPr="0058406E" w:rsidRDefault="0058406E" w:rsidP="0058406E">
      <w:pPr>
        <w:spacing w:before="120" w:after="0" w:line="240" w:lineRule="auto"/>
        <w:rPr>
          <w:color w:val="0000FF"/>
        </w:rPr>
      </w:pPr>
      <w:r w:rsidRPr="00C57A35">
        <w:rPr>
          <w:color w:val="0000FF"/>
        </w:rPr>
        <w:t>Owing to the broad range of facility-level results, the forest plot illustrates that scores readily discern high- and low-performing facilities. Each facility had scores that were statistically significantly different from at least five of the eight other facilities. All but one facility had scores that were statistically significantly different from the mean measure score. The clinical interpretation of these results suggests substantial differences and ample opportunity for improvement across IPFs in the completeness and timeliness of the medication reconciliation process. This is expected to translate into clinically meaningful differences in reduction of medication discrepancies and preventable ADEs.</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B57EBDF" w14:textId="0681420E" w:rsidR="004E19CB" w:rsidRDefault="009C7513" w:rsidP="004E19CB">
      <w:pPr>
        <w:autoSpaceDE w:val="0"/>
        <w:autoSpaceDN w:val="0"/>
        <w:adjustRightInd w:val="0"/>
        <w:spacing w:after="0" w:line="240" w:lineRule="auto"/>
        <w:rPr>
          <w:color w:val="0000FF"/>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4E19CB">
        <w:rPr>
          <w:rFonts w:cstheme="minorHAnsi"/>
          <w:bCs/>
        </w:rPr>
        <w:t>)</w:t>
      </w:r>
    </w:p>
    <w:p w14:paraId="57931053" w14:textId="56543376" w:rsidR="004E19CB" w:rsidRPr="00A92715" w:rsidRDefault="004E19CB" w:rsidP="004E19CB">
      <w:pPr>
        <w:autoSpaceDE w:val="0"/>
        <w:autoSpaceDN w:val="0"/>
        <w:adjustRightInd w:val="0"/>
        <w:spacing w:before="120" w:after="0" w:line="240" w:lineRule="auto"/>
        <w:rPr>
          <w:color w:val="0000FF"/>
        </w:rPr>
      </w:pPr>
      <w:r w:rsidRPr="15B07BB9">
        <w:rPr>
          <w:color w:val="0000FF"/>
        </w:rPr>
        <w:t xml:space="preserve">Note that the measure score is largely based on the presence of specific data elements in the medical record. </w:t>
      </w:r>
      <w:r w:rsidR="009E4C14">
        <w:rPr>
          <w:color w:val="0000FF"/>
        </w:rPr>
        <w:t xml:space="preserve">Medication reconciliation within 2 days of admission to an IPF is expected for each patient admission in the measure population. Thus, missing data are considered </w:t>
      </w:r>
      <w:r w:rsidR="00E37D2A">
        <w:rPr>
          <w:color w:val="0000FF"/>
        </w:rPr>
        <w:t>part of the quality signal</w:t>
      </w:r>
      <w:r w:rsidR="009E4C14">
        <w:rPr>
          <w:color w:val="0000FF"/>
        </w:rPr>
        <w:t xml:space="preserve"> in the measure score.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7D156581" w14:textId="1594BFA5" w:rsidR="004E19CB" w:rsidRDefault="009C7513" w:rsidP="008F7E67">
      <w:pPr>
        <w:autoSpaceDE w:val="0"/>
        <w:autoSpaceDN w:val="0"/>
        <w:adjustRightInd w:val="0"/>
        <w:spacing w:after="0" w:line="240" w:lineRule="auto"/>
        <w:rPr>
          <w:color w:val="0000FF"/>
        </w:rPr>
      </w:pPr>
      <w:r>
        <w:rPr>
          <w:rFonts w:cstheme="minorHAnsi"/>
          <w:b/>
          <w:bCs/>
        </w:rPr>
        <w:t>2b6</w:t>
      </w:r>
      <w:r w:rsidR="008F7E67">
        <w:rPr>
          <w:rFonts w:cstheme="minorHAnsi"/>
          <w:b/>
          <w:bCs/>
        </w:rPr>
        <w:t xml:space="preserve">.2.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p>
    <w:p w14:paraId="0CABD01D" w14:textId="1A48FCC2" w:rsidR="008F7E67" w:rsidRPr="004E19CB" w:rsidRDefault="004E19CB" w:rsidP="004E19CB">
      <w:pPr>
        <w:autoSpaceDE w:val="0"/>
        <w:autoSpaceDN w:val="0"/>
        <w:adjustRightInd w:val="0"/>
        <w:spacing w:before="120" w:after="0" w:line="240" w:lineRule="auto"/>
        <w:rPr>
          <w:color w:val="0000FF"/>
        </w:rPr>
      </w:pPr>
      <w:r w:rsidRPr="45F51226">
        <w:rPr>
          <w:color w:val="0000FF"/>
        </w:rPr>
        <w:t>Not applicable for the reasons noted in 2b</w:t>
      </w:r>
      <w:r>
        <w:rPr>
          <w:color w:val="0000FF"/>
        </w:rPr>
        <w:t>6</w:t>
      </w:r>
      <w:r w:rsidRPr="45F51226">
        <w:rPr>
          <w:color w:val="0000FF"/>
        </w:rPr>
        <w:t>.1.</w:t>
      </w: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0B55AED8" w:rsidR="00BA053B" w:rsidRPr="005560E7" w:rsidRDefault="004E19CB" w:rsidP="004E19CB">
      <w:pPr>
        <w:autoSpaceDE w:val="0"/>
        <w:autoSpaceDN w:val="0"/>
        <w:adjustRightInd w:val="0"/>
        <w:spacing w:before="120" w:after="0" w:line="240" w:lineRule="auto"/>
        <w:rPr>
          <w:rFonts w:cstheme="minorHAnsi"/>
          <w:bCs/>
        </w:rPr>
      </w:pPr>
      <w:r w:rsidRPr="45F51226">
        <w:rPr>
          <w:color w:val="0000FF"/>
        </w:rPr>
        <w:t>Not applicable for the reasons noted in 2b</w:t>
      </w:r>
      <w:r>
        <w:rPr>
          <w:color w:val="0000FF"/>
        </w:rPr>
        <w:t>6</w:t>
      </w:r>
      <w:r w:rsidRPr="45F51226">
        <w:rPr>
          <w:color w:val="0000FF"/>
        </w:rPr>
        <w:t>.1.</w:t>
      </w:r>
    </w:p>
    <w:sectPr w:rsidR="00BA053B" w:rsidRPr="005560E7" w:rsidSect="008505D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50AFE" w14:textId="77777777" w:rsidR="00CB5C40" w:rsidRDefault="00CB5C40" w:rsidP="005C73CA">
      <w:pPr>
        <w:spacing w:after="0" w:line="240" w:lineRule="auto"/>
      </w:pPr>
      <w:r>
        <w:separator/>
      </w:r>
    </w:p>
  </w:endnote>
  <w:endnote w:type="continuationSeparator" w:id="0">
    <w:p w14:paraId="54D3EA29" w14:textId="77777777" w:rsidR="00CB5C40" w:rsidRDefault="00CB5C40"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SimSu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Arial">
    <w:altName w:val="Times New Roman"/>
    <w:panose1 w:val="00000000000000000000"/>
    <w:charset w:val="00"/>
    <w:family w:val="roman"/>
    <w:notTrueType/>
    <w:pitch w:val="default"/>
  </w:font>
  <w:font w:name="Calibri,Times New Roman">
    <w:altName w:val="Times New Roman"/>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60F90C2B" w:rsidR="00CB5C40" w:rsidRDefault="00CB5C40">
    <w:pPr>
      <w:pStyle w:val="Footer"/>
    </w:pPr>
    <w:r>
      <w:t>Version 7.1 9/6/2017</w:t>
    </w:r>
    <w:r>
      <w:ptab w:relativeTo="margin" w:alignment="right" w:leader="none"/>
    </w:r>
    <w:r>
      <w:fldChar w:fldCharType="begin"/>
    </w:r>
    <w:r>
      <w:instrText xml:space="preserve"> PAGE   \* MERGEFORMAT </w:instrText>
    </w:r>
    <w:r>
      <w:fldChar w:fldCharType="separate"/>
    </w:r>
    <w:r w:rsidR="006C0C2A">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69AB1B" w14:textId="77777777" w:rsidR="00CB5C40" w:rsidRDefault="00CB5C40" w:rsidP="005C73CA">
      <w:pPr>
        <w:spacing w:after="0" w:line="240" w:lineRule="auto"/>
      </w:pPr>
      <w:r>
        <w:separator/>
      </w:r>
    </w:p>
  </w:footnote>
  <w:footnote w:type="continuationSeparator" w:id="0">
    <w:p w14:paraId="67B64C5E" w14:textId="77777777" w:rsidR="00CB5C40" w:rsidRDefault="00CB5C40"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CB5C40" w:rsidRPr="00105D8B" w:rsidRDefault="00CB5C40"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CBC5A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310317"/>
    <w:multiLevelType w:val="hybridMultilevel"/>
    <w:tmpl w:val="AE080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A470A7"/>
    <w:multiLevelType w:val="hybridMultilevel"/>
    <w:tmpl w:val="58180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4"/>
  </w:num>
  <w:num w:numId="3">
    <w:abstractNumId w:val="4"/>
  </w:num>
  <w:num w:numId="4">
    <w:abstractNumId w:val="7"/>
  </w:num>
  <w:num w:numId="5">
    <w:abstractNumId w:val="3"/>
  </w:num>
  <w:num w:numId="6">
    <w:abstractNumId w:val="2"/>
  </w:num>
  <w:num w:numId="7">
    <w:abstractNumId w:val="5"/>
  </w:num>
  <w:num w:numId="8">
    <w:abstractNumId w:val="24"/>
  </w:num>
  <w:num w:numId="9">
    <w:abstractNumId w:val="13"/>
  </w:num>
  <w:num w:numId="10">
    <w:abstractNumId w:val="29"/>
  </w:num>
  <w:num w:numId="11">
    <w:abstractNumId w:val="15"/>
  </w:num>
  <w:num w:numId="12">
    <w:abstractNumId w:val="27"/>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28"/>
  </w:num>
  <w:num w:numId="18">
    <w:abstractNumId w:val="26"/>
  </w:num>
  <w:num w:numId="19">
    <w:abstractNumId w:val="25"/>
  </w:num>
  <w:num w:numId="20">
    <w:abstractNumId w:val="19"/>
  </w:num>
  <w:num w:numId="21">
    <w:abstractNumId w:val="23"/>
  </w:num>
  <w:num w:numId="22">
    <w:abstractNumId w:val="18"/>
  </w:num>
  <w:num w:numId="23">
    <w:abstractNumId w:val="9"/>
  </w:num>
  <w:num w:numId="24">
    <w:abstractNumId w:val="17"/>
  </w:num>
  <w:num w:numId="25">
    <w:abstractNumId w:val="16"/>
  </w:num>
  <w:num w:numId="26">
    <w:abstractNumId w:val="30"/>
  </w:num>
  <w:num w:numId="27">
    <w:abstractNumId w:val="1"/>
  </w:num>
  <w:num w:numId="28">
    <w:abstractNumId w:val="12"/>
  </w:num>
  <w:num w:numId="29">
    <w:abstractNumId w:val="20"/>
  </w:num>
  <w:num w:numId="30">
    <w:abstractNumId w:val="10"/>
  </w:num>
  <w:num w:numId="31">
    <w:abstractNumId w:val="8"/>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trackRevisions/>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07BBA"/>
    <w:rsid w:val="0001094F"/>
    <w:rsid w:val="00021170"/>
    <w:rsid w:val="0002128B"/>
    <w:rsid w:val="00024DFD"/>
    <w:rsid w:val="00027AB8"/>
    <w:rsid w:val="0003069E"/>
    <w:rsid w:val="000309DD"/>
    <w:rsid w:val="00031414"/>
    <w:rsid w:val="00033038"/>
    <w:rsid w:val="00033D63"/>
    <w:rsid w:val="0003436F"/>
    <w:rsid w:val="000370C4"/>
    <w:rsid w:val="000414E8"/>
    <w:rsid w:val="00043E61"/>
    <w:rsid w:val="0004593A"/>
    <w:rsid w:val="00050A3E"/>
    <w:rsid w:val="00050E81"/>
    <w:rsid w:val="00052A6F"/>
    <w:rsid w:val="00053F02"/>
    <w:rsid w:val="0005612B"/>
    <w:rsid w:val="000574AB"/>
    <w:rsid w:val="0006147A"/>
    <w:rsid w:val="0006234F"/>
    <w:rsid w:val="00062E72"/>
    <w:rsid w:val="000775F8"/>
    <w:rsid w:val="00080CF7"/>
    <w:rsid w:val="0008112C"/>
    <w:rsid w:val="000851B2"/>
    <w:rsid w:val="00092107"/>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0F5E86"/>
    <w:rsid w:val="00104B45"/>
    <w:rsid w:val="00105D8B"/>
    <w:rsid w:val="0011342F"/>
    <w:rsid w:val="001202E9"/>
    <w:rsid w:val="0012454F"/>
    <w:rsid w:val="001248DF"/>
    <w:rsid w:val="00125273"/>
    <w:rsid w:val="0012575E"/>
    <w:rsid w:val="00127C06"/>
    <w:rsid w:val="00134763"/>
    <w:rsid w:val="00145149"/>
    <w:rsid w:val="00145D4F"/>
    <w:rsid w:val="0014773C"/>
    <w:rsid w:val="0017696D"/>
    <w:rsid w:val="00176E2F"/>
    <w:rsid w:val="00180F8C"/>
    <w:rsid w:val="001845B9"/>
    <w:rsid w:val="001848FC"/>
    <w:rsid w:val="00193F21"/>
    <w:rsid w:val="00194465"/>
    <w:rsid w:val="001969C5"/>
    <w:rsid w:val="001A6CDD"/>
    <w:rsid w:val="001C12EE"/>
    <w:rsid w:val="001C4CF9"/>
    <w:rsid w:val="001C7B02"/>
    <w:rsid w:val="001E2BB3"/>
    <w:rsid w:val="001E4DD4"/>
    <w:rsid w:val="001E69DC"/>
    <w:rsid w:val="001F169D"/>
    <w:rsid w:val="001F1DA1"/>
    <w:rsid w:val="001F6F93"/>
    <w:rsid w:val="001F7A20"/>
    <w:rsid w:val="0021054A"/>
    <w:rsid w:val="0021195A"/>
    <w:rsid w:val="00213383"/>
    <w:rsid w:val="00220250"/>
    <w:rsid w:val="00222444"/>
    <w:rsid w:val="00224BB3"/>
    <w:rsid w:val="0022691B"/>
    <w:rsid w:val="00232163"/>
    <w:rsid w:val="002376F8"/>
    <w:rsid w:val="002408E4"/>
    <w:rsid w:val="00241591"/>
    <w:rsid w:val="00241DD7"/>
    <w:rsid w:val="00242AD4"/>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076B9"/>
    <w:rsid w:val="003116AC"/>
    <w:rsid w:val="00315567"/>
    <w:rsid w:val="003243A3"/>
    <w:rsid w:val="00326627"/>
    <w:rsid w:val="00330144"/>
    <w:rsid w:val="00330D23"/>
    <w:rsid w:val="00334329"/>
    <w:rsid w:val="00345CBA"/>
    <w:rsid w:val="00346245"/>
    <w:rsid w:val="00354AF0"/>
    <w:rsid w:val="00356267"/>
    <w:rsid w:val="00356BAD"/>
    <w:rsid w:val="003605B4"/>
    <w:rsid w:val="003627AC"/>
    <w:rsid w:val="00365260"/>
    <w:rsid w:val="00366914"/>
    <w:rsid w:val="00372FE3"/>
    <w:rsid w:val="003755CB"/>
    <w:rsid w:val="00383F85"/>
    <w:rsid w:val="00387BA1"/>
    <w:rsid w:val="003947D1"/>
    <w:rsid w:val="003A0174"/>
    <w:rsid w:val="003A306C"/>
    <w:rsid w:val="003A7DE7"/>
    <w:rsid w:val="003B1006"/>
    <w:rsid w:val="003C5F11"/>
    <w:rsid w:val="003D1E07"/>
    <w:rsid w:val="003D294B"/>
    <w:rsid w:val="003D6401"/>
    <w:rsid w:val="003E1863"/>
    <w:rsid w:val="003F58CD"/>
    <w:rsid w:val="0041606D"/>
    <w:rsid w:val="00416962"/>
    <w:rsid w:val="004206A8"/>
    <w:rsid w:val="004348CC"/>
    <w:rsid w:val="00450C58"/>
    <w:rsid w:val="00454923"/>
    <w:rsid w:val="004658FF"/>
    <w:rsid w:val="00474ED7"/>
    <w:rsid w:val="004756E1"/>
    <w:rsid w:val="0048008A"/>
    <w:rsid w:val="00483E94"/>
    <w:rsid w:val="00484120"/>
    <w:rsid w:val="004853A0"/>
    <w:rsid w:val="00493962"/>
    <w:rsid w:val="004942AD"/>
    <w:rsid w:val="00496B5F"/>
    <w:rsid w:val="004A2E10"/>
    <w:rsid w:val="004A6B52"/>
    <w:rsid w:val="004B17FF"/>
    <w:rsid w:val="004B1BA0"/>
    <w:rsid w:val="004B6CEE"/>
    <w:rsid w:val="004C2443"/>
    <w:rsid w:val="004C498F"/>
    <w:rsid w:val="004C5D29"/>
    <w:rsid w:val="004C681A"/>
    <w:rsid w:val="004D1212"/>
    <w:rsid w:val="004D4D8A"/>
    <w:rsid w:val="004E19CB"/>
    <w:rsid w:val="004E37A4"/>
    <w:rsid w:val="004F68EE"/>
    <w:rsid w:val="004F7F30"/>
    <w:rsid w:val="005038D5"/>
    <w:rsid w:val="00511BA4"/>
    <w:rsid w:val="005149E7"/>
    <w:rsid w:val="005232D6"/>
    <w:rsid w:val="005333CC"/>
    <w:rsid w:val="005363F1"/>
    <w:rsid w:val="00537C1B"/>
    <w:rsid w:val="0055007C"/>
    <w:rsid w:val="00554922"/>
    <w:rsid w:val="00555282"/>
    <w:rsid w:val="005560E7"/>
    <w:rsid w:val="005612CC"/>
    <w:rsid w:val="00563029"/>
    <w:rsid w:val="00565946"/>
    <w:rsid w:val="00567D12"/>
    <w:rsid w:val="00576062"/>
    <w:rsid w:val="0058406E"/>
    <w:rsid w:val="0059559F"/>
    <w:rsid w:val="005A49FF"/>
    <w:rsid w:val="005A6CA3"/>
    <w:rsid w:val="005A7634"/>
    <w:rsid w:val="005B6F04"/>
    <w:rsid w:val="005C0447"/>
    <w:rsid w:val="005C2801"/>
    <w:rsid w:val="005C739F"/>
    <w:rsid w:val="005C73CA"/>
    <w:rsid w:val="005D4768"/>
    <w:rsid w:val="005E0BA8"/>
    <w:rsid w:val="005E2CAB"/>
    <w:rsid w:val="005E3009"/>
    <w:rsid w:val="005E429E"/>
    <w:rsid w:val="00601ED4"/>
    <w:rsid w:val="006030BC"/>
    <w:rsid w:val="00612866"/>
    <w:rsid w:val="00616EB5"/>
    <w:rsid w:val="00625D6F"/>
    <w:rsid w:val="006269D4"/>
    <w:rsid w:val="00627A88"/>
    <w:rsid w:val="006327D8"/>
    <w:rsid w:val="0064070A"/>
    <w:rsid w:val="00643A01"/>
    <w:rsid w:val="00651D44"/>
    <w:rsid w:val="00655F79"/>
    <w:rsid w:val="006574D2"/>
    <w:rsid w:val="00663563"/>
    <w:rsid w:val="006676D4"/>
    <w:rsid w:val="00675535"/>
    <w:rsid w:val="00681359"/>
    <w:rsid w:val="0069157C"/>
    <w:rsid w:val="00696262"/>
    <w:rsid w:val="00696FD0"/>
    <w:rsid w:val="006B6031"/>
    <w:rsid w:val="006C02B3"/>
    <w:rsid w:val="006C02B9"/>
    <w:rsid w:val="006C0C2A"/>
    <w:rsid w:val="006C3A4F"/>
    <w:rsid w:val="006C4845"/>
    <w:rsid w:val="006D2DEB"/>
    <w:rsid w:val="006D6BC1"/>
    <w:rsid w:val="006E2BFC"/>
    <w:rsid w:val="006E5C57"/>
    <w:rsid w:val="006F22A5"/>
    <w:rsid w:val="00702C73"/>
    <w:rsid w:val="00713394"/>
    <w:rsid w:val="00716195"/>
    <w:rsid w:val="00724677"/>
    <w:rsid w:val="00725AC2"/>
    <w:rsid w:val="00732880"/>
    <w:rsid w:val="007416B9"/>
    <w:rsid w:val="007422FD"/>
    <w:rsid w:val="00743E46"/>
    <w:rsid w:val="00747C45"/>
    <w:rsid w:val="0075429C"/>
    <w:rsid w:val="00756FDB"/>
    <w:rsid w:val="007629B6"/>
    <w:rsid w:val="007665BF"/>
    <w:rsid w:val="00771B2A"/>
    <w:rsid w:val="007757CE"/>
    <w:rsid w:val="00775800"/>
    <w:rsid w:val="00775E17"/>
    <w:rsid w:val="0079180E"/>
    <w:rsid w:val="007950CC"/>
    <w:rsid w:val="007951DB"/>
    <w:rsid w:val="0079538B"/>
    <w:rsid w:val="007961B8"/>
    <w:rsid w:val="00797624"/>
    <w:rsid w:val="007A4828"/>
    <w:rsid w:val="007B093D"/>
    <w:rsid w:val="007B13D4"/>
    <w:rsid w:val="007B2069"/>
    <w:rsid w:val="007B24C4"/>
    <w:rsid w:val="007C04A1"/>
    <w:rsid w:val="007C21FA"/>
    <w:rsid w:val="007D13B1"/>
    <w:rsid w:val="007D4351"/>
    <w:rsid w:val="007D7019"/>
    <w:rsid w:val="007E18DB"/>
    <w:rsid w:val="007E6F1C"/>
    <w:rsid w:val="00804C69"/>
    <w:rsid w:val="0080711D"/>
    <w:rsid w:val="008128E4"/>
    <w:rsid w:val="00814277"/>
    <w:rsid w:val="008155CD"/>
    <w:rsid w:val="00822416"/>
    <w:rsid w:val="00833325"/>
    <w:rsid w:val="00840A41"/>
    <w:rsid w:val="00841E5A"/>
    <w:rsid w:val="00842F3C"/>
    <w:rsid w:val="008505D1"/>
    <w:rsid w:val="00855158"/>
    <w:rsid w:val="00857EE8"/>
    <w:rsid w:val="00862EDB"/>
    <w:rsid w:val="0086464B"/>
    <w:rsid w:val="008647FC"/>
    <w:rsid w:val="00864CA8"/>
    <w:rsid w:val="00865E2D"/>
    <w:rsid w:val="00870E6C"/>
    <w:rsid w:val="00875846"/>
    <w:rsid w:val="00884486"/>
    <w:rsid w:val="008864F7"/>
    <w:rsid w:val="008871A9"/>
    <w:rsid w:val="008916BA"/>
    <w:rsid w:val="00892176"/>
    <w:rsid w:val="00897CEB"/>
    <w:rsid w:val="008A1DB7"/>
    <w:rsid w:val="008A403A"/>
    <w:rsid w:val="008A4C13"/>
    <w:rsid w:val="008B604D"/>
    <w:rsid w:val="008C54A9"/>
    <w:rsid w:val="008E67C3"/>
    <w:rsid w:val="008F589F"/>
    <w:rsid w:val="008F76A9"/>
    <w:rsid w:val="008F7E67"/>
    <w:rsid w:val="00900DBF"/>
    <w:rsid w:val="009048B9"/>
    <w:rsid w:val="00904E91"/>
    <w:rsid w:val="00915886"/>
    <w:rsid w:val="00915B41"/>
    <w:rsid w:val="00917121"/>
    <w:rsid w:val="009214DC"/>
    <w:rsid w:val="00926B80"/>
    <w:rsid w:val="00927027"/>
    <w:rsid w:val="009311A7"/>
    <w:rsid w:val="009344BA"/>
    <w:rsid w:val="00946E61"/>
    <w:rsid w:val="00947F78"/>
    <w:rsid w:val="00953234"/>
    <w:rsid w:val="00961EAF"/>
    <w:rsid w:val="0096278F"/>
    <w:rsid w:val="00970CC0"/>
    <w:rsid w:val="00970D2B"/>
    <w:rsid w:val="009726E1"/>
    <w:rsid w:val="00972A04"/>
    <w:rsid w:val="00977591"/>
    <w:rsid w:val="00980E75"/>
    <w:rsid w:val="00991A14"/>
    <w:rsid w:val="00994BE0"/>
    <w:rsid w:val="009A25B1"/>
    <w:rsid w:val="009A3519"/>
    <w:rsid w:val="009A4608"/>
    <w:rsid w:val="009A4FA5"/>
    <w:rsid w:val="009A6A57"/>
    <w:rsid w:val="009A70BF"/>
    <w:rsid w:val="009B1A15"/>
    <w:rsid w:val="009C0852"/>
    <w:rsid w:val="009C13CA"/>
    <w:rsid w:val="009C32C6"/>
    <w:rsid w:val="009C6124"/>
    <w:rsid w:val="009C665F"/>
    <w:rsid w:val="009C7513"/>
    <w:rsid w:val="009D2E8B"/>
    <w:rsid w:val="009D3882"/>
    <w:rsid w:val="009D7E38"/>
    <w:rsid w:val="009E095B"/>
    <w:rsid w:val="009E1846"/>
    <w:rsid w:val="009E4C14"/>
    <w:rsid w:val="009E78FF"/>
    <w:rsid w:val="00A01494"/>
    <w:rsid w:val="00A053F9"/>
    <w:rsid w:val="00A0785D"/>
    <w:rsid w:val="00A11710"/>
    <w:rsid w:val="00A208D9"/>
    <w:rsid w:val="00A22FA9"/>
    <w:rsid w:val="00A25024"/>
    <w:rsid w:val="00A35F8F"/>
    <w:rsid w:val="00A41377"/>
    <w:rsid w:val="00A4263D"/>
    <w:rsid w:val="00A509B8"/>
    <w:rsid w:val="00A52AB9"/>
    <w:rsid w:val="00A56E5A"/>
    <w:rsid w:val="00A6210B"/>
    <w:rsid w:val="00A64EBF"/>
    <w:rsid w:val="00A71200"/>
    <w:rsid w:val="00A7323A"/>
    <w:rsid w:val="00A831B4"/>
    <w:rsid w:val="00A97798"/>
    <w:rsid w:val="00AA5213"/>
    <w:rsid w:val="00AA65A6"/>
    <w:rsid w:val="00AC1D8E"/>
    <w:rsid w:val="00AC48FA"/>
    <w:rsid w:val="00AD0240"/>
    <w:rsid w:val="00AD4137"/>
    <w:rsid w:val="00AF09FB"/>
    <w:rsid w:val="00AF2D68"/>
    <w:rsid w:val="00B037BA"/>
    <w:rsid w:val="00B06492"/>
    <w:rsid w:val="00B20139"/>
    <w:rsid w:val="00B218DA"/>
    <w:rsid w:val="00B31CA1"/>
    <w:rsid w:val="00B342FA"/>
    <w:rsid w:val="00B41426"/>
    <w:rsid w:val="00B51C81"/>
    <w:rsid w:val="00B53E8B"/>
    <w:rsid w:val="00B6042F"/>
    <w:rsid w:val="00B774D2"/>
    <w:rsid w:val="00B8015A"/>
    <w:rsid w:val="00B82A57"/>
    <w:rsid w:val="00BA053B"/>
    <w:rsid w:val="00BA4354"/>
    <w:rsid w:val="00BA7A3F"/>
    <w:rsid w:val="00BB35AE"/>
    <w:rsid w:val="00BC03A1"/>
    <w:rsid w:val="00BC0D25"/>
    <w:rsid w:val="00BC2F51"/>
    <w:rsid w:val="00BD0240"/>
    <w:rsid w:val="00BD20E1"/>
    <w:rsid w:val="00BD2505"/>
    <w:rsid w:val="00BE592D"/>
    <w:rsid w:val="00BF52B0"/>
    <w:rsid w:val="00BF5697"/>
    <w:rsid w:val="00C14CCC"/>
    <w:rsid w:val="00C15F82"/>
    <w:rsid w:val="00C1695E"/>
    <w:rsid w:val="00C22C1C"/>
    <w:rsid w:val="00C31AB0"/>
    <w:rsid w:val="00C33F2E"/>
    <w:rsid w:val="00C34936"/>
    <w:rsid w:val="00C34C14"/>
    <w:rsid w:val="00C355B9"/>
    <w:rsid w:val="00C37EF1"/>
    <w:rsid w:val="00C401C4"/>
    <w:rsid w:val="00C41680"/>
    <w:rsid w:val="00C57A35"/>
    <w:rsid w:val="00C60A25"/>
    <w:rsid w:val="00C765C5"/>
    <w:rsid w:val="00C775CE"/>
    <w:rsid w:val="00C82479"/>
    <w:rsid w:val="00C86599"/>
    <w:rsid w:val="00C867F0"/>
    <w:rsid w:val="00C95D95"/>
    <w:rsid w:val="00C95DAE"/>
    <w:rsid w:val="00CA06D8"/>
    <w:rsid w:val="00CA337F"/>
    <w:rsid w:val="00CA345A"/>
    <w:rsid w:val="00CB233B"/>
    <w:rsid w:val="00CB49FF"/>
    <w:rsid w:val="00CB5C40"/>
    <w:rsid w:val="00CC02CF"/>
    <w:rsid w:val="00CC086A"/>
    <w:rsid w:val="00CD0E24"/>
    <w:rsid w:val="00CD0F66"/>
    <w:rsid w:val="00CD364B"/>
    <w:rsid w:val="00CD6F07"/>
    <w:rsid w:val="00CE23B8"/>
    <w:rsid w:val="00CE284E"/>
    <w:rsid w:val="00CE50D7"/>
    <w:rsid w:val="00CF0112"/>
    <w:rsid w:val="00CF4CBE"/>
    <w:rsid w:val="00D00344"/>
    <w:rsid w:val="00D1754D"/>
    <w:rsid w:val="00D2223F"/>
    <w:rsid w:val="00D274A4"/>
    <w:rsid w:val="00D277AF"/>
    <w:rsid w:val="00D278AD"/>
    <w:rsid w:val="00D30793"/>
    <w:rsid w:val="00D31163"/>
    <w:rsid w:val="00D320B1"/>
    <w:rsid w:val="00D33AFD"/>
    <w:rsid w:val="00D36489"/>
    <w:rsid w:val="00D369E9"/>
    <w:rsid w:val="00D37E46"/>
    <w:rsid w:val="00D42195"/>
    <w:rsid w:val="00D45DD7"/>
    <w:rsid w:val="00D50704"/>
    <w:rsid w:val="00D5760A"/>
    <w:rsid w:val="00D61410"/>
    <w:rsid w:val="00D8181D"/>
    <w:rsid w:val="00D968D8"/>
    <w:rsid w:val="00DA0790"/>
    <w:rsid w:val="00DA07D3"/>
    <w:rsid w:val="00DA4AE3"/>
    <w:rsid w:val="00DA563D"/>
    <w:rsid w:val="00DA7277"/>
    <w:rsid w:val="00DB3627"/>
    <w:rsid w:val="00DB4724"/>
    <w:rsid w:val="00DB6944"/>
    <w:rsid w:val="00DB78FE"/>
    <w:rsid w:val="00DC4746"/>
    <w:rsid w:val="00DC5EA0"/>
    <w:rsid w:val="00DE7149"/>
    <w:rsid w:val="00E009A4"/>
    <w:rsid w:val="00E0314C"/>
    <w:rsid w:val="00E14F7E"/>
    <w:rsid w:val="00E1508F"/>
    <w:rsid w:val="00E261DF"/>
    <w:rsid w:val="00E27240"/>
    <w:rsid w:val="00E27EDD"/>
    <w:rsid w:val="00E30584"/>
    <w:rsid w:val="00E310B9"/>
    <w:rsid w:val="00E37D2A"/>
    <w:rsid w:val="00E37E1B"/>
    <w:rsid w:val="00E562C0"/>
    <w:rsid w:val="00E57FAF"/>
    <w:rsid w:val="00E672D6"/>
    <w:rsid w:val="00E725F3"/>
    <w:rsid w:val="00E76024"/>
    <w:rsid w:val="00E856A2"/>
    <w:rsid w:val="00E967AD"/>
    <w:rsid w:val="00E96884"/>
    <w:rsid w:val="00EA5435"/>
    <w:rsid w:val="00EA5F47"/>
    <w:rsid w:val="00EB03AA"/>
    <w:rsid w:val="00EB455E"/>
    <w:rsid w:val="00EC2D4D"/>
    <w:rsid w:val="00EC79DE"/>
    <w:rsid w:val="00ED4ACE"/>
    <w:rsid w:val="00EE4D35"/>
    <w:rsid w:val="00EF2DA7"/>
    <w:rsid w:val="00F1412B"/>
    <w:rsid w:val="00F15BFA"/>
    <w:rsid w:val="00F21E13"/>
    <w:rsid w:val="00F34FAB"/>
    <w:rsid w:val="00F35080"/>
    <w:rsid w:val="00F416A6"/>
    <w:rsid w:val="00F435AA"/>
    <w:rsid w:val="00F5738A"/>
    <w:rsid w:val="00F612D4"/>
    <w:rsid w:val="00F7389E"/>
    <w:rsid w:val="00F77F1D"/>
    <w:rsid w:val="00F81872"/>
    <w:rsid w:val="00F84B62"/>
    <w:rsid w:val="00F86BC0"/>
    <w:rsid w:val="00F87CCB"/>
    <w:rsid w:val="00FA48C7"/>
    <w:rsid w:val="00FB2AD3"/>
    <w:rsid w:val="00FB51FB"/>
    <w:rsid w:val="00FB73C1"/>
    <w:rsid w:val="00FE1D8C"/>
    <w:rsid w:val="00FE495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Numbered List"/>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Numbered List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link w:val="NormalWebChar"/>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Caption">
    <w:name w:val="caption"/>
    <w:basedOn w:val="Normal"/>
    <w:next w:val="Normal"/>
    <w:autoRedefine/>
    <w:unhideWhenUsed/>
    <w:qFormat/>
    <w:rsid w:val="00775E17"/>
    <w:pPr>
      <w:keepNext/>
      <w:tabs>
        <w:tab w:val="left" w:pos="7920"/>
      </w:tabs>
      <w:spacing w:before="120" w:after="0" w:line="240" w:lineRule="auto"/>
    </w:pPr>
    <w:rPr>
      <w:rFonts w:eastAsia="SimSun" w:cstheme="minorHAnsi"/>
      <w:b/>
      <w:color w:val="000000" w:themeColor="text1"/>
      <w:sz w:val="20"/>
      <w:szCs w:val="20"/>
    </w:rPr>
  </w:style>
  <w:style w:type="character" w:customStyle="1" w:styleId="NormalWebChar">
    <w:name w:val="Normal (Web) Char"/>
    <w:link w:val="NormalWeb"/>
    <w:uiPriority w:val="99"/>
    <w:locked/>
    <w:rsid w:val="00696FD0"/>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E14F7E"/>
    <w:pPr>
      <w:spacing w:after="0" w:line="240" w:lineRule="auto"/>
    </w:pPr>
    <w:rPr>
      <w:rFonts w:ascii="Arial" w:eastAsia="SimSun" w:hAnsi="Arial"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25D6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16038912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SimSu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Arial">
    <w:altName w:val="Times New Roman"/>
    <w:panose1 w:val="00000000000000000000"/>
    <w:charset w:val="00"/>
    <w:family w:val="roman"/>
    <w:notTrueType/>
    <w:pitch w:val="default"/>
  </w:font>
  <w:font w:name="Calibri,Times New Roman">
    <w:altName w:val="Times New Roman"/>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12A79"/>
    <w:rsid w:val="00021F89"/>
    <w:rsid w:val="00116DC2"/>
    <w:rsid w:val="00127222"/>
    <w:rsid w:val="001736D7"/>
    <w:rsid w:val="00190AF4"/>
    <w:rsid w:val="001E5CFC"/>
    <w:rsid w:val="00223FA3"/>
    <w:rsid w:val="002A288F"/>
    <w:rsid w:val="002C65A7"/>
    <w:rsid w:val="002F052A"/>
    <w:rsid w:val="00350176"/>
    <w:rsid w:val="003840F0"/>
    <w:rsid w:val="00437537"/>
    <w:rsid w:val="004D785E"/>
    <w:rsid w:val="00513FC9"/>
    <w:rsid w:val="0053654E"/>
    <w:rsid w:val="00610196"/>
    <w:rsid w:val="00632A7E"/>
    <w:rsid w:val="00632AB6"/>
    <w:rsid w:val="00640B74"/>
    <w:rsid w:val="00730B33"/>
    <w:rsid w:val="00747AF2"/>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CA71C9"/>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E31963FBE758646899199F287E4BBD7" ma:contentTypeVersion="12" ma:contentTypeDescription="Create a new document." ma:contentTypeScope="" ma:versionID="183afd8e12d9d258691304c979cc0e57">
  <xsd:schema xmlns:xsd="http://www.w3.org/2001/XMLSchema" xmlns:xs="http://www.w3.org/2001/XMLSchema" xmlns:p="http://schemas.microsoft.com/office/2006/metadata/properties" xmlns:ns1="http://schemas.microsoft.com/sharepoint/v3" xmlns:ns2="2ba5c0ca-a228-43d4-a925-bb0951669886" xmlns:ns3="efe1ab15-17a3-4d17-b8c7-5ce51cd7fe7c" targetNamespace="http://schemas.microsoft.com/office/2006/metadata/properties" ma:root="true" ma:fieldsID="80e7f358b278a8afd312967899faf3d9" ns1:_="" ns2:_="" ns3:_="">
    <xsd:import namespace="http://schemas.microsoft.com/sharepoint/v3"/>
    <xsd:import namespace="2ba5c0ca-a228-43d4-a925-bb0951669886"/>
    <xsd:import namespace="efe1ab15-17a3-4d17-b8c7-5ce51cd7fe7c"/>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1:_ip_UnifiedCompliancePolicyProperties" minOccurs="0"/>
                <xsd:element ref="ns1:_ip_UnifiedCompliancePolicyUIAction" minOccurs="0"/>
                <xsd:element ref="ns3:MediaServiceMetadata" minOccurs="0"/>
                <xsd:element ref="ns3:MediaServiceFastMetadata"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description="" ma:hidden="true" ma:internalName="_ip_UnifiedCompliancePolicyProperties">
      <xsd:simpleType>
        <xsd:restriction base="dms:Note"/>
      </xsd:simpleType>
    </xsd:element>
    <xsd:element name="_ip_UnifiedCompliancePolicyUIAction" ma:index="13"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a5c0ca-a228-43d4-a925-bb0951669886"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fe1ab15-17a3-4d17-b8c7-5ce51cd7fe7c" elementFormDefault="qualified">
    <xsd:import namespace="http://schemas.microsoft.com/office/2006/documentManagement/types"/>
    <xsd:import namespace="http://schemas.microsoft.com/office/infopath/2007/PartnerControls"/>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2.xml><?xml version="1.0" encoding="utf-8"?>
<ds:datastoreItem xmlns:ds="http://schemas.openxmlformats.org/officeDocument/2006/customXml" ds:itemID="{1FEC98C6-EB0F-4893-813E-7468217A9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a5c0ca-a228-43d4-a925-bb0951669886"/>
    <ds:schemaRef ds:uri="efe1ab15-17a3-4d17-b8c7-5ce51cd7fe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00C901-3C40-4C03-AF30-8401D54B3554}">
  <ds:schemaRefs>
    <ds:schemaRef ds:uri="http://schemas.openxmlformats.org/package/2006/metadata/core-properties"/>
    <ds:schemaRef ds:uri="http://www.w3.org/XML/1998/namespace"/>
    <ds:schemaRef ds:uri="2ba5c0ca-a228-43d4-a925-bb0951669886"/>
    <ds:schemaRef ds:uri="http://purl.org/dc/terms/"/>
    <ds:schemaRef ds:uri="http://schemas.microsoft.com/office/2006/metadata/properties"/>
    <ds:schemaRef ds:uri="http://schemas.microsoft.com/office/2006/documentManagement/types"/>
    <ds:schemaRef ds:uri="http://schemas.microsoft.com/sharepoint/v3"/>
    <ds:schemaRef ds:uri="http://purl.org/dc/elements/1.1/"/>
    <ds:schemaRef ds:uri="http://schemas.microsoft.com/office/infopath/2007/PartnerControls"/>
    <ds:schemaRef ds:uri="efe1ab15-17a3-4d17-b8c7-5ce51cd7fe7c"/>
    <ds:schemaRef ds:uri="http://purl.org/dc/dcmitype/"/>
  </ds:schemaRefs>
</ds:datastoreItem>
</file>

<file path=customXml/itemProps4.xml><?xml version="1.0" encoding="utf-8"?>
<ds:datastoreItem xmlns:ds="http://schemas.openxmlformats.org/officeDocument/2006/customXml" ds:itemID="{E72D8893-68F5-4546-AAE5-437DFCE93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6037</Words>
  <Characters>34417</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40374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Megan Keenan</cp:lastModifiedBy>
  <cp:revision>2</cp:revision>
  <dcterms:created xsi:type="dcterms:W3CDTF">2017-11-01T19:43:00Z</dcterms:created>
  <dcterms:modified xsi:type="dcterms:W3CDTF">2017-11-01T19:43:00Z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0x010100AE31963FBE758646899199F287E4BBD7</vt:lpwstr>
  </property>
</Properties>
</file>